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AC714" w14:textId="54C18FA9" w:rsidR="00EC7533" w:rsidRDefault="00EC7533" w:rsidP="00BD1995">
      <w:pPr>
        <w:tabs>
          <w:tab w:val="left" w:pos="1703"/>
        </w:tabs>
        <w:jc w:val="center"/>
        <w:rPr>
          <w:b/>
          <w:u w:val="single"/>
        </w:rPr>
      </w:pPr>
      <w:bookmarkStart w:id="0" w:name="_GoBack"/>
      <w:bookmarkEnd w:id="0"/>
      <w:r w:rsidRPr="00EC7533">
        <w:rPr>
          <w:b/>
          <w:noProof/>
          <w:u w:val="single"/>
          <w:lang w:eastAsia="fr-FR"/>
        </w:rPr>
        <w:drawing>
          <wp:inline distT="0" distB="0" distL="0" distR="0" wp14:anchorId="20B13B96" wp14:editId="4DBAD55D">
            <wp:extent cx="5759450" cy="8091805"/>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8091805"/>
                    </a:xfrm>
                    <a:prstGeom prst="rect">
                      <a:avLst/>
                    </a:prstGeom>
                  </pic:spPr>
                </pic:pic>
              </a:graphicData>
            </a:graphic>
          </wp:inline>
        </w:drawing>
      </w:r>
    </w:p>
    <w:p w14:paraId="1AE5DC95" w14:textId="77777777" w:rsidR="00EC7533" w:rsidRDefault="00EC7533" w:rsidP="00BD1995">
      <w:pPr>
        <w:tabs>
          <w:tab w:val="left" w:pos="1703"/>
        </w:tabs>
        <w:jc w:val="center"/>
        <w:rPr>
          <w:b/>
          <w:u w:val="single"/>
        </w:rPr>
      </w:pPr>
    </w:p>
    <w:p w14:paraId="69C3CD79" w14:textId="25F24E5E" w:rsidR="00BD1995" w:rsidRPr="00BD1995" w:rsidRDefault="00EC7533" w:rsidP="00BD1995">
      <w:pPr>
        <w:tabs>
          <w:tab w:val="left" w:pos="1703"/>
        </w:tabs>
        <w:jc w:val="center"/>
        <w:rPr>
          <w:b/>
          <w:u w:val="single"/>
        </w:rPr>
      </w:pPr>
      <w:r>
        <w:rPr>
          <w:b/>
          <w:u w:val="single"/>
        </w:rPr>
        <w:lastRenderedPageBreak/>
        <w:t>Ca</w:t>
      </w:r>
      <w:r w:rsidR="00204274">
        <w:rPr>
          <w:b/>
          <w:u w:val="single"/>
        </w:rPr>
        <w:t>hier des charges simplifié de l’</w:t>
      </w:r>
      <w:r w:rsidR="00BD1995" w:rsidRPr="00BD1995">
        <w:rPr>
          <w:b/>
          <w:u w:val="single"/>
        </w:rPr>
        <w:t>Appel à Manifestation d’Intérêt (AMI)</w:t>
      </w:r>
      <w:r w:rsidR="00204274">
        <w:rPr>
          <w:b/>
          <w:u w:val="single"/>
        </w:rPr>
        <w:t> :</w:t>
      </w:r>
    </w:p>
    <w:p w14:paraId="17AE9C70" w14:textId="77777777" w:rsidR="00BD1995" w:rsidRDefault="00BD1995" w:rsidP="00BD1995">
      <w:pPr>
        <w:tabs>
          <w:tab w:val="left" w:pos="1703"/>
        </w:tabs>
        <w:jc w:val="center"/>
        <w:rPr>
          <w:b/>
          <w:u w:val="single"/>
        </w:rPr>
      </w:pPr>
      <w:proofErr w:type="spellStart"/>
      <w:r w:rsidRPr="00BD1995">
        <w:rPr>
          <w:b/>
          <w:u w:val="single"/>
        </w:rPr>
        <w:t>HealthIA</w:t>
      </w:r>
      <w:proofErr w:type="spellEnd"/>
      <w:r w:rsidRPr="00BD1995">
        <w:rPr>
          <w:b/>
          <w:u w:val="single"/>
        </w:rPr>
        <w:t xml:space="preserve"> : Smart challenge</w:t>
      </w:r>
    </w:p>
    <w:p w14:paraId="0DC08170" w14:textId="5AC0D210" w:rsidR="0047019C" w:rsidRPr="00E54A79" w:rsidRDefault="003E5EFD" w:rsidP="003E5EFD">
      <w:pPr>
        <w:pStyle w:val="Paragraphedeliste"/>
        <w:numPr>
          <w:ilvl w:val="0"/>
          <w:numId w:val="11"/>
        </w:numPr>
        <w:tabs>
          <w:tab w:val="left" w:pos="1703"/>
        </w:tabs>
        <w:jc w:val="both"/>
        <w:rPr>
          <w:b/>
          <w:i/>
          <w:color w:val="4472C4" w:themeColor="accent5"/>
          <w:sz w:val="24"/>
          <w:szCs w:val="24"/>
          <w:u w:val="single"/>
        </w:rPr>
      </w:pPr>
      <w:r w:rsidRPr="00E54A79">
        <w:rPr>
          <w:b/>
          <w:i/>
          <w:color w:val="4472C4" w:themeColor="accent5"/>
          <w:sz w:val="24"/>
          <w:szCs w:val="24"/>
          <w:u w:val="single"/>
        </w:rPr>
        <w:t>Cadre</w:t>
      </w:r>
      <w:r w:rsidR="0047019C" w:rsidRPr="00E54A79">
        <w:rPr>
          <w:b/>
          <w:i/>
          <w:color w:val="4472C4" w:themeColor="accent5"/>
          <w:sz w:val="24"/>
          <w:szCs w:val="24"/>
          <w:u w:val="single"/>
        </w:rPr>
        <w:t xml:space="preserve"> général</w:t>
      </w:r>
      <w:r w:rsidRPr="00E54A79">
        <w:rPr>
          <w:b/>
          <w:i/>
          <w:color w:val="4472C4" w:themeColor="accent5"/>
          <w:sz w:val="24"/>
          <w:szCs w:val="24"/>
          <w:u w:val="single"/>
        </w:rPr>
        <w:t xml:space="preserve"> des Appel</w:t>
      </w:r>
      <w:r w:rsidR="00204274">
        <w:rPr>
          <w:b/>
          <w:i/>
          <w:color w:val="4472C4" w:themeColor="accent5"/>
          <w:sz w:val="24"/>
          <w:szCs w:val="24"/>
          <w:u w:val="single"/>
        </w:rPr>
        <w:t>s</w:t>
      </w:r>
      <w:r w:rsidRPr="00E54A79">
        <w:rPr>
          <w:b/>
          <w:i/>
          <w:color w:val="4472C4" w:themeColor="accent5"/>
          <w:sz w:val="24"/>
          <w:szCs w:val="24"/>
          <w:u w:val="single"/>
        </w:rPr>
        <w:t xml:space="preserve"> à Manifestation d’Intérêt (AMI)</w:t>
      </w:r>
    </w:p>
    <w:p w14:paraId="674C2F45" w14:textId="5E52136F" w:rsidR="002C6D72" w:rsidRPr="00212EC9" w:rsidRDefault="002C6D72" w:rsidP="002C6D72">
      <w:pPr>
        <w:tabs>
          <w:tab w:val="left" w:pos="1703"/>
        </w:tabs>
        <w:jc w:val="both"/>
        <w:rPr>
          <w:color w:val="000000" w:themeColor="text1"/>
        </w:rPr>
      </w:pPr>
      <w:r w:rsidRPr="00212EC9">
        <w:rPr>
          <w:color w:val="000000" w:themeColor="text1"/>
        </w:rPr>
        <w:t xml:space="preserve">En Hauts-de-France, l'innovation rassemble et mobilise des ressources d’horizons différents. Partout dans les territoires, dans les laboratoires comme dans les entreprises, en ville comme dans les zones rurales, de nombreux acteurs multiplient les innovations pour expérimenter, répondre à des besoins spécifiques, performer. </w:t>
      </w:r>
    </w:p>
    <w:p w14:paraId="5316D536" w14:textId="13E0684F" w:rsidR="002C6D72" w:rsidRPr="00212EC9" w:rsidRDefault="002C6D72" w:rsidP="002C6D72">
      <w:pPr>
        <w:tabs>
          <w:tab w:val="left" w:pos="1703"/>
        </w:tabs>
        <w:jc w:val="both"/>
        <w:rPr>
          <w:color w:val="000000" w:themeColor="text1"/>
        </w:rPr>
      </w:pPr>
      <w:r w:rsidRPr="00212EC9">
        <w:rPr>
          <w:color w:val="000000" w:themeColor="text1"/>
        </w:rPr>
        <w:t xml:space="preserve">Avec l’adoption de la </w:t>
      </w:r>
      <w:r w:rsidRPr="00212EC9">
        <w:rPr>
          <w:b/>
          <w:color w:val="000000" w:themeColor="text1"/>
        </w:rPr>
        <w:t>feuille de route « Accélérer l’innovation en Hauts-de-France » fin 2025</w:t>
      </w:r>
      <w:r w:rsidRPr="00212EC9">
        <w:rPr>
          <w:color w:val="000000" w:themeColor="text1"/>
        </w:rPr>
        <w:t xml:space="preserve">, la Région réaffirme l’importance de structurer durablement un écosystème qui associe territoires, entreprises, universités et centres de recherche, au service de la compétitivité collective pour anticiper les mutations économiques, préparer les compétences de demain, et faire rayonner les atouts de la région comme territoire innovant à l’échelle nationale, européenne comme à l’international. </w:t>
      </w:r>
    </w:p>
    <w:p w14:paraId="14A7B666" w14:textId="75E6ABDD" w:rsidR="002C6D72" w:rsidRPr="00212EC9" w:rsidRDefault="002C6D72" w:rsidP="002C6D72">
      <w:pPr>
        <w:tabs>
          <w:tab w:val="left" w:pos="1703"/>
        </w:tabs>
        <w:jc w:val="both"/>
        <w:rPr>
          <w:color w:val="000000" w:themeColor="text1"/>
        </w:rPr>
      </w:pPr>
      <w:r w:rsidRPr="00212EC9">
        <w:rPr>
          <w:color w:val="000000" w:themeColor="text1"/>
        </w:rPr>
        <w:t>Le déploiement de la politique régionale d’innovation s’articule autour de différents schémas qui fixent la stratégie régionale jusque 2028 : Le Schéma Régional de Développement Economique, d’Innovation et d’Internationalisation des Entreprises (SRDEII), le Schéma Régional d’Enseignement Supérieur, de la Recherche et de l’Innovation (SRESRI), et la dynamique transversale Rev3.</w:t>
      </w:r>
    </w:p>
    <w:p w14:paraId="10717278" w14:textId="459BC292" w:rsidR="002C6D72" w:rsidRPr="00212EC9" w:rsidRDefault="002C6D72" w:rsidP="00BD1995">
      <w:pPr>
        <w:tabs>
          <w:tab w:val="left" w:pos="1703"/>
        </w:tabs>
        <w:jc w:val="both"/>
        <w:rPr>
          <w:color w:val="000000" w:themeColor="text1"/>
        </w:rPr>
      </w:pPr>
      <w:r w:rsidRPr="00212EC9">
        <w:rPr>
          <w:color w:val="000000" w:themeColor="text1"/>
        </w:rPr>
        <w:t>Valoriser au maximum nos atouts, prendre en compte les enjeux sociétaux de notre temps, capitaliser sur les ressources de l’écosystème : voici les bases pour une politique régionale volontariste renouvelée en faveur de l’innovation.</w:t>
      </w:r>
    </w:p>
    <w:p w14:paraId="7B9333AC" w14:textId="5EA944D0" w:rsidR="00B5751C" w:rsidRPr="00212EC9" w:rsidRDefault="00B5751C" w:rsidP="00B5751C">
      <w:pPr>
        <w:tabs>
          <w:tab w:val="left" w:pos="1703"/>
        </w:tabs>
        <w:jc w:val="both"/>
        <w:rPr>
          <w:color w:val="000000" w:themeColor="text1"/>
        </w:rPr>
      </w:pPr>
      <w:r w:rsidRPr="00212EC9">
        <w:rPr>
          <w:color w:val="000000" w:themeColor="text1"/>
        </w:rPr>
        <w:t xml:space="preserve">La Région affirme l’importance de </w:t>
      </w:r>
      <w:r w:rsidRPr="00212EC9">
        <w:rPr>
          <w:b/>
          <w:color w:val="000000" w:themeColor="text1"/>
        </w:rPr>
        <w:t>structurer durablement un écosystème</w:t>
      </w:r>
      <w:r w:rsidRPr="00212EC9">
        <w:rPr>
          <w:color w:val="000000" w:themeColor="text1"/>
        </w:rPr>
        <w:t xml:space="preserve"> qui associe territoires, entreprises, universités et centres de recherche, au service de la </w:t>
      </w:r>
      <w:r w:rsidRPr="00212EC9">
        <w:rPr>
          <w:b/>
          <w:color w:val="000000" w:themeColor="text1"/>
        </w:rPr>
        <w:t>compétitivité collective</w:t>
      </w:r>
      <w:r w:rsidRPr="00212EC9">
        <w:rPr>
          <w:color w:val="000000" w:themeColor="text1"/>
        </w:rPr>
        <w:t xml:space="preserve"> pour anticiper les mutations économiques, préparer les compétences de demain, et faire rayonner les atouts de la région comme territoire innovant à l’échelle nationale, européenne comme à l’international. </w:t>
      </w:r>
    </w:p>
    <w:p w14:paraId="4C0BD915" w14:textId="04B36D78" w:rsidR="00B5751C" w:rsidRPr="00212EC9" w:rsidRDefault="00B5751C" w:rsidP="00BD1995">
      <w:pPr>
        <w:tabs>
          <w:tab w:val="left" w:pos="1703"/>
        </w:tabs>
        <w:jc w:val="both"/>
        <w:rPr>
          <w:color w:val="000000" w:themeColor="text1"/>
        </w:rPr>
      </w:pPr>
      <w:r w:rsidRPr="00212EC9">
        <w:rPr>
          <w:color w:val="000000" w:themeColor="text1"/>
        </w:rPr>
        <w:t xml:space="preserve">Cette feuille de route vient compléter le déploiement de </w:t>
      </w:r>
      <w:r w:rsidRPr="00212EC9">
        <w:rPr>
          <w:b/>
          <w:color w:val="000000" w:themeColor="text1"/>
        </w:rPr>
        <w:t xml:space="preserve">la Stratégie de Spécialisation intelligente (S3 Hauts-de-France) </w:t>
      </w:r>
      <w:r w:rsidRPr="00212EC9">
        <w:rPr>
          <w:color w:val="000000" w:themeColor="text1"/>
        </w:rPr>
        <w:t>pour la période 2021-2027 dans sept domaines d’activités stratégiques, dont celui de la santé.</w:t>
      </w:r>
    </w:p>
    <w:p w14:paraId="28A3691E" w14:textId="33AB59AD" w:rsidR="001D0A9B" w:rsidRPr="00212EC9" w:rsidRDefault="002C6D72" w:rsidP="00BD1995">
      <w:pPr>
        <w:tabs>
          <w:tab w:val="left" w:pos="1703"/>
        </w:tabs>
        <w:jc w:val="both"/>
        <w:rPr>
          <w:color w:val="000000" w:themeColor="text1"/>
        </w:rPr>
      </w:pPr>
      <w:r w:rsidRPr="00212EC9">
        <w:rPr>
          <w:color w:val="000000" w:themeColor="text1"/>
        </w:rPr>
        <w:t>Dans ce cadre</w:t>
      </w:r>
      <w:r w:rsidR="00B5751C" w:rsidRPr="00212EC9">
        <w:rPr>
          <w:color w:val="000000" w:themeColor="text1"/>
        </w:rPr>
        <w:t xml:space="preserve">, </w:t>
      </w:r>
      <w:r w:rsidR="00D35E81" w:rsidRPr="00212EC9">
        <w:rPr>
          <w:color w:val="000000" w:themeColor="text1"/>
        </w:rPr>
        <w:t xml:space="preserve">plusieurs Appels à manifestation d’intérêt sont </w:t>
      </w:r>
      <w:r w:rsidR="00EF20B4" w:rsidRPr="00212EC9">
        <w:rPr>
          <w:color w:val="000000" w:themeColor="text1"/>
        </w:rPr>
        <w:t>proposés</w:t>
      </w:r>
      <w:r w:rsidR="00D35E81" w:rsidRPr="00212EC9">
        <w:rPr>
          <w:color w:val="000000" w:themeColor="text1"/>
        </w:rPr>
        <w:t xml:space="preserve"> </w:t>
      </w:r>
      <w:r w:rsidR="00EF20B4" w:rsidRPr="00212EC9">
        <w:rPr>
          <w:color w:val="000000" w:themeColor="text1"/>
        </w:rPr>
        <w:t>sur 17</w:t>
      </w:r>
      <w:r w:rsidR="00D35E81" w:rsidRPr="00212EC9">
        <w:rPr>
          <w:color w:val="000000" w:themeColor="text1"/>
        </w:rPr>
        <w:t xml:space="preserve"> thématiques, pour : </w:t>
      </w:r>
    </w:p>
    <w:p w14:paraId="1BA8B672" w14:textId="77777777" w:rsidR="00D35E81" w:rsidRPr="00212EC9" w:rsidRDefault="00D35E81" w:rsidP="00D35E81">
      <w:pPr>
        <w:pStyle w:val="Paragraphedeliste"/>
        <w:numPr>
          <w:ilvl w:val="0"/>
          <w:numId w:val="10"/>
        </w:numPr>
        <w:tabs>
          <w:tab w:val="left" w:pos="1703"/>
        </w:tabs>
        <w:jc w:val="both"/>
        <w:rPr>
          <w:color w:val="000000" w:themeColor="text1"/>
        </w:rPr>
      </w:pPr>
      <w:r w:rsidRPr="00212EC9">
        <w:rPr>
          <w:b/>
          <w:color w:val="000000" w:themeColor="text1"/>
        </w:rPr>
        <w:t>Communiquer sur ces thèmes</w:t>
      </w:r>
      <w:r w:rsidRPr="00212EC9">
        <w:rPr>
          <w:color w:val="000000" w:themeColor="text1"/>
        </w:rPr>
        <w:t xml:space="preserve"> et valoriser les actions, projets préexistants pour montrer les forces en présence au sein de l’écosystème d’innovation Hauts-de-France.</w:t>
      </w:r>
    </w:p>
    <w:p w14:paraId="74066226" w14:textId="77777777" w:rsidR="00D35E81" w:rsidRPr="00212EC9" w:rsidRDefault="00D35E81" w:rsidP="00D35E81">
      <w:pPr>
        <w:pStyle w:val="Paragraphedeliste"/>
        <w:numPr>
          <w:ilvl w:val="0"/>
          <w:numId w:val="10"/>
        </w:numPr>
        <w:tabs>
          <w:tab w:val="left" w:pos="1703"/>
        </w:tabs>
        <w:jc w:val="both"/>
        <w:rPr>
          <w:color w:val="000000" w:themeColor="text1"/>
        </w:rPr>
      </w:pPr>
      <w:r w:rsidRPr="00212EC9">
        <w:rPr>
          <w:color w:val="000000" w:themeColor="text1"/>
        </w:rPr>
        <w:t xml:space="preserve">Être des </w:t>
      </w:r>
      <w:r w:rsidRPr="00212EC9">
        <w:rPr>
          <w:b/>
          <w:color w:val="000000" w:themeColor="text1"/>
        </w:rPr>
        <w:t>usines à projet et mobiliser les financements disponibles</w:t>
      </w:r>
      <w:r w:rsidRPr="00212EC9">
        <w:rPr>
          <w:color w:val="000000" w:themeColor="text1"/>
        </w:rPr>
        <w:t xml:space="preserve"> : Cette dynamique permettra de susciter et d’identifier des projets innovants, susceptibles de bénéficier de financements via différents canaux : Dispositifs régionaux, nationaux et européens. </w:t>
      </w:r>
    </w:p>
    <w:p w14:paraId="3BF8F5B0" w14:textId="2D67B8CE" w:rsidR="00D35E81" w:rsidRPr="00212EC9" w:rsidRDefault="00D35E81" w:rsidP="00D35E81">
      <w:pPr>
        <w:pStyle w:val="Paragraphedeliste"/>
        <w:numPr>
          <w:ilvl w:val="0"/>
          <w:numId w:val="10"/>
        </w:numPr>
        <w:tabs>
          <w:tab w:val="left" w:pos="1703"/>
        </w:tabs>
        <w:jc w:val="both"/>
        <w:rPr>
          <w:color w:val="000000" w:themeColor="text1"/>
        </w:rPr>
      </w:pPr>
      <w:r w:rsidRPr="00212EC9">
        <w:rPr>
          <w:color w:val="000000" w:themeColor="text1"/>
        </w:rPr>
        <w:t xml:space="preserve">Constituer les </w:t>
      </w:r>
      <w:r w:rsidRPr="00212EC9">
        <w:rPr>
          <w:b/>
          <w:color w:val="000000" w:themeColor="text1"/>
        </w:rPr>
        <w:t>futurs axes verticaux de la stratégie d’innovation</w:t>
      </w:r>
      <w:r w:rsidRPr="00212EC9">
        <w:rPr>
          <w:color w:val="000000" w:themeColor="text1"/>
        </w:rPr>
        <w:t xml:space="preserve"> des Hauts-de-France pour 2028. </w:t>
      </w:r>
    </w:p>
    <w:p w14:paraId="083C2685" w14:textId="77777777" w:rsidR="003E5EFD" w:rsidRDefault="003E5EFD">
      <w:pPr>
        <w:rPr>
          <w:i/>
          <w:u w:val="single"/>
        </w:rPr>
      </w:pPr>
      <w:r>
        <w:rPr>
          <w:i/>
          <w:u w:val="single"/>
        </w:rPr>
        <w:br w:type="page"/>
      </w:r>
    </w:p>
    <w:p w14:paraId="0540875A" w14:textId="74A5E928" w:rsidR="0047019C" w:rsidRPr="00E54A79" w:rsidRDefault="003E5EFD" w:rsidP="00E54A79">
      <w:pPr>
        <w:pStyle w:val="Paragraphedeliste"/>
        <w:numPr>
          <w:ilvl w:val="0"/>
          <w:numId w:val="11"/>
        </w:numPr>
        <w:tabs>
          <w:tab w:val="left" w:pos="1703"/>
        </w:tabs>
        <w:jc w:val="both"/>
        <w:rPr>
          <w:b/>
          <w:i/>
          <w:color w:val="4472C4" w:themeColor="accent5"/>
          <w:sz w:val="24"/>
          <w:szCs w:val="24"/>
          <w:u w:val="single"/>
        </w:rPr>
      </w:pPr>
      <w:r w:rsidRPr="00E54A79">
        <w:rPr>
          <w:b/>
          <w:i/>
          <w:color w:val="4472C4" w:themeColor="accent5"/>
          <w:sz w:val="24"/>
          <w:szCs w:val="24"/>
          <w:u w:val="single"/>
        </w:rPr>
        <w:lastRenderedPageBreak/>
        <w:t>Cadre spécifique de l’</w:t>
      </w:r>
      <w:r w:rsidR="0047019C" w:rsidRPr="00E54A79">
        <w:rPr>
          <w:b/>
          <w:i/>
          <w:color w:val="4472C4" w:themeColor="accent5"/>
          <w:sz w:val="24"/>
          <w:szCs w:val="24"/>
          <w:u w:val="single"/>
        </w:rPr>
        <w:t xml:space="preserve">Appel à Manifestation d’Intérêt (AMI) : </w:t>
      </w:r>
      <w:proofErr w:type="spellStart"/>
      <w:r w:rsidR="0047019C" w:rsidRPr="00E54A79">
        <w:rPr>
          <w:b/>
          <w:i/>
          <w:color w:val="4472C4" w:themeColor="accent5"/>
          <w:sz w:val="24"/>
          <w:szCs w:val="24"/>
          <w:u w:val="single"/>
        </w:rPr>
        <w:t>IA&amp;Santé</w:t>
      </w:r>
      <w:proofErr w:type="spellEnd"/>
    </w:p>
    <w:p w14:paraId="4B8BDC96" w14:textId="562FB7CB" w:rsidR="002C6D72" w:rsidRPr="002C6D72" w:rsidRDefault="00D35E81" w:rsidP="00BD1995">
      <w:pPr>
        <w:tabs>
          <w:tab w:val="left" w:pos="1703"/>
        </w:tabs>
        <w:jc w:val="both"/>
      </w:pPr>
      <w:r w:rsidRPr="003E5EFD">
        <w:rPr>
          <w:b/>
        </w:rPr>
        <w:t>Un</w:t>
      </w:r>
      <w:r w:rsidR="006D6C8C" w:rsidRPr="003E5EFD">
        <w:rPr>
          <w:b/>
        </w:rPr>
        <w:t xml:space="preserve"> Appel à Manifestation d’Intérêt est lancé</w:t>
      </w:r>
      <w:r w:rsidR="002C6D72" w:rsidRPr="003E5EFD">
        <w:rPr>
          <w:b/>
        </w:rPr>
        <w:t xml:space="preserve"> sur la thématique : IA &amp; Santé, </w:t>
      </w:r>
      <w:r w:rsidR="002C6D72" w:rsidRPr="003E5EFD">
        <w:t>parce que l’intelligence artificielle s’impose plus que jamais comme un levier stratégique majeur pour transformer le monde de la santé. Ses opportunités sont inédites et révolutionnent le secteur.</w:t>
      </w:r>
    </w:p>
    <w:p w14:paraId="39BDAD35" w14:textId="15F367F1" w:rsidR="002E564B" w:rsidRDefault="002C6D72" w:rsidP="00BD1995">
      <w:pPr>
        <w:tabs>
          <w:tab w:val="left" w:pos="1703"/>
        </w:tabs>
        <w:jc w:val="both"/>
      </w:pPr>
      <w:r w:rsidRPr="002C6D72">
        <w:t>Cet AMI a pour ambition de</w:t>
      </w:r>
      <w:r w:rsidR="00E431D1" w:rsidRPr="002C6D72">
        <w:rPr>
          <w:b/>
        </w:rPr>
        <w:t xml:space="preserve"> faire émerger une véritable filière régionale de l’IA en santé</w:t>
      </w:r>
      <w:r w:rsidR="00E431D1">
        <w:t xml:space="preserve"> </w:t>
      </w:r>
      <w:r w:rsidR="00E431D1" w:rsidRPr="00E431D1">
        <w:t xml:space="preserve">de la </w:t>
      </w:r>
      <w:r w:rsidR="00E431D1" w:rsidRPr="0060420D">
        <w:t xml:space="preserve">recherche </w:t>
      </w:r>
      <w:r w:rsidR="00B6095E" w:rsidRPr="0060420D">
        <w:t>à visée applicative</w:t>
      </w:r>
      <w:r w:rsidR="00B6095E" w:rsidRPr="00E431D1">
        <w:t xml:space="preserve"> </w:t>
      </w:r>
      <w:r w:rsidR="00E431D1" w:rsidRPr="00E431D1">
        <w:t xml:space="preserve">jusqu’aux usages concrets au bénéfice des </w:t>
      </w:r>
      <w:r w:rsidR="00B6095E">
        <w:t xml:space="preserve">professionnels et des </w:t>
      </w:r>
      <w:r w:rsidR="00E431D1" w:rsidRPr="00E431D1">
        <w:t>patients, afin d’ancrer durablement l’innovation dans les Hauts-de-France.</w:t>
      </w:r>
    </w:p>
    <w:p w14:paraId="4F8C2648" w14:textId="3BB9F951" w:rsidR="00E54A79" w:rsidRDefault="00E54A79" w:rsidP="00E54A79">
      <w:pPr>
        <w:tabs>
          <w:tab w:val="left" w:pos="1703"/>
        </w:tabs>
        <w:jc w:val="both"/>
      </w:pPr>
      <w:r w:rsidRPr="006D6C8C">
        <w:t>Aujourd’hui, la région appelle toutes les forces vives — chercheurs, start-up, industriels, établissements de santé, associations — à rejoindre cette dynamique.</w:t>
      </w:r>
      <w:r>
        <w:t xml:space="preserve"> </w:t>
      </w:r>
      <w:r w:rsidRPr="006D6C8C">
        <w:t>Cet AMI est une opportunité unique de s’inscrire dans une stratégie ambitieuse, soutenue et structurante.</w:t>
      </w:r>
      <w:r>
        <w:t xml:space="preserve"> </w:t>
      </w:r>
      <w:r w:rsidRPr="006D6C8C">
        <w:t xml:space="preserve"> Chaque candidature compte pour bâtir une filière d’excellence, renforcer l’attractivité du territoire et faire des Hauts-de-France un leader national de l’IA en santé.</w:t>
      </w:r>
    </w:p>
    <w:p w14:paraId="3CAA9ED9" w14:textId="3B80C656" w:rsidR="00E431D1" w:rsidRPr="00E54A79" w:rsidRDefault="00E54A79" w:rsidP="00EC7533">
      <w:pPr>
        <w:tabs>
          <w:tab w:val="left" w:pos="1703"/>
        </w:tabs>
        <w:spacing w:after="120"/>
        <w:jc w:val="both"/>
        <w:rPr>
          <w:u w:val="single"/>
        </w:rPr>
      </w:pPr>
      <w:r w:rsidRPr="00E54A79">
        <w:rPr>
          <w:u w:val="single"/>
        </w:rPr>
        <w:t>2.1 Enjeux de l’AMI :</w:t>
      </w:r>
    </w:p>
    <w:p w14:paraId="151A69C4" w14:textId="00E37052" w:rsidR="00B6095E" w:rsidRDefault="00B6095E" w:rsidP="00EC7533">
      <w:pPr>
        <w:pStyle w:val="Paragraphedeliste"/>
        <w:numPr>
          <w:ilvl w:val="0"/>
          <w:numId w:val="5"/>
        </w:numPr>
        <w:tabs>
          <w:tab w:val="left" w:pos="1703"/>
        </w:tabs>
        <w:spacing w:after="120"/>
        <w:jc w:val="both"/>
      </w:pPr>
      <w:proofErr w:type="gramStart"/>
      <w:r>
        <w:t>structurer</w:t>
      </w:r>
      <w:proofErr w:type="gramEnd"/>
      <w:r>
        <w:t xml:space="preserve"> une vision commune de l’IA en santé ;</w:t>
      </w:r>
    </w:p>
    <w:p w14:paraId="789CC771" w14:textId="705A416D" w:rsidR="00E431D1" w:rsidRPr="0060420D" w:rsidRDefault="00E431D1" w:rsidP="00EC7533">
      <w:pPr>
        <w:pStyle w:val="Paragraphedeliste"/>
        <w:numPr>
          <w:ilvl w:val="0"/>
          <w:numId w:val="5"/>
        </w:numPr>
        <w:tabs>
          <w:tab w:val="left" w:pos="1703"/>
        </w:tabs>
        <w:spacing w:after="120"/>
        <w:jc w:val="both"/>
      </w:pPr>
      <w:proofErr w:type="gramStart"/>
      <w:r>
        <w:t>identifier</w:t>
      </w:r>
      <w:proofErr w:type="gramEnd"/>
      <w:r>
        <w:t xml:space="preserve"> les acteurs clés de la filière et ceux en capacité de porter des projets structurants</w:t>
      </w:r>
      <w:r w:rsidR="000C149F">
        <w:t xml:space="preserve"> pour aboutir à </w:t>
      </w:r>
      <w:r w:rsidR="000C149F" w:rsidRPr="0060420D">
        <w:t xml:space="preserve">la </w:t>
      </w:r>
      <w:r w:rsidR="00163BE5" w:rsidRPr="0060420D">
        <w:t>constitution</w:t>
      </w:r>
      <w:r w:rsidR="000C149F" w:rsidRPr="0060420D">
        <w:t xml:space="preserve"> de filières</w:t>
      </w:r>
      <w:r w:rsidR="00B6095E" w:rsidRPr="0060420D">
        <w:t xml:space="preserve"> </w:t>
      </w:r>
      <w:r w:rsidR="00163BE5" w:rsidRPr="0060420D">
        <w:t>pour faire évoluer le niveau de maturité des projets</w:t>
      </w:r>
      <w:r w:rsidR="00B6095E" w:rsidRPr="0060420D">
        <w:t xml:space="preserve"> </w:t>
      </w:r>
      <w:r w:rsidRPr="0060420D">
        <w:t>;</w:t>
      </w:r>
    </w:p>
    <w:p w14:paraId="319C275F" w14:textId="77777777" w:rsidR="00E431D1" w:rsidRDefault="00E431D1" w:rsidP="00EC7533">
      <w:pPr>
        <w:pStyle w:val="Paragraphedeliste"/>
        <w:numPr>
          <w:ilvl w:val="0"/>
          <w:numId w:val="5"/>
        </w:numPr>
        <w:tabs>
          <w:tab w:val="left" w:pos="1703"/>
        </w:tabs>
        <w:spacing w:after="120"/>
        <w:jc w:val="both"/>
      </w:pPr>
      <w:proofErr w:type="gramStart"/>
      <w:r>
        <w:t>encourager</w:t>
      </w:r>
      <w:proofErr w:type="gramEnd"/>
      <w:r>
        <w:t xml:space="preserve"> des projets coopératifs, conçus dans une logique de transfert et </w:t>
      </w:r>
      <w:proofErr w:type="spellStart"/>
      <w:r>
        <w:t>déployables</w:t>
      </w:r>
      <w:proofErr w:type="spellEnd"/>
      <w:r>
        <w:t xml:space="preserve"> dans les territoires </w:t>
      </w:r>
      <w:proofErr w:type="spellStart"/>
      <w:r>
        <w:t>infra</w:t>
      </w:r>
      <w:r w:rsidRPr="00E431D1">
        <w:rPr>
          <w:rFonts w:ascii="Cambria Math" w:hAnsi="Cambria Math" w:cs="Cambria Math"/>
        </w:rPr>
        <w:t>‑</w:t>
      </w:r>
      <w:r>
        <w:t>r</w:t>
      </w:r>
      <w:r w:rsidRPr="00E431D1">
        <w:rPr>
          <w:rFonts w:ascii="Calibri" w:hAnsi="Calibri" w:cs="Calibri"/>
        </w:rPr>
        <w:t>é</w:t>
      </w:r>
      <w:r>
        <w:t>gionaux</w:t>
      </w:r>
      <w:proofErr w:type="spellEnd"/>
      <w:r>
        <w:t xml:space="preserve"> ;</w:t>
      </w:r>
    </w:p>
    <w:p w14:paraId="4E9F41F3" w14:textId="518CE10B" w:rsidR="00E431D1" w:rsidRDefault="00E431D1" w:rsidP="00EC7533">
      <w:pPr>
        <w:pStyle w:val="Paragraphedeliste"/>
        <w:numPr>
          <w:ilvl w:val="0"/>
          <w:numId w:val="5"/>
        </w:numPr>
        <w:tabs>
          <w:tab w:val="left" w:pos="1703"/>
        </w:tabs>
        <w:spacing w:after="120"/>
        <w:jc w:val="both"/>
      </w:pPr>
      <w:proofErr w:type="gramStart"/>
      <w:r>
        <w:t>repérer</w:t>
      </w:r>
      <w:proofErr w:type="gramEnd"/>
      <w:r>
        <w:t xml:space="preserve"> les projets émergents, analyser leur maturité et comprendre les freins comme les leviers à leur développement</w:t>
      </w:r>
      <w:r w:rsidR="00B6095E">
        <w:t>.</w:t>
      </w:r>
    </w:p>
    <w:p w14:paraId="1A779DAA" w14:textId="460C80FA" w:rsidR="00E431D1" w:rsidRPr="00E54A79" w:rsidRDefault="00E54A79" w:rsidP="00EC7533">
      <w:pPr>
        <w:tabs>
          <w:tab w:val="left" w:pos="1703"/>
        </w:tabs>
        <w:spacing w:after="120"/>
        <w:jc w:val="both"/>
        <w:rPr>
          <w:u w:val="single"/>
        </w:rPr>
      </w:pPr>
      <w:r w:rsidRPr="00E54A79">
        <w:rPr>
          <w:u w:val="single"/>
        </w:rPr>
        <w:t>2.2 Priorités de l’IA :</w:t>
      </w:r>
    </w:p>
    <w:p w14:paraId="79E853FA" w14:textId="77777777" w:rsidR="00E431D1" w:rsidRDefault="00E431D1" w:rsidP="00EC7533">
      <w:pPr>
        <w:pStyle w:val="Paragraphedeliste"/>
        <w:numPr>
          <w:ilvl w:val="0"/>
          <w:numId w:val="4"/>
        </w:numPr>
        <w:tabs>
          <w:tab w:val="left" w:pos="1703"/>
        </w:tabs>
        <w:spacing w:after="120"/>
        <w:jc w:val="both"/>
      </w:pPr>
      <w:proofErr w:type="gramStart"/>
      <w:r>
        <w:t>une</w:t>
      </w:r>
      <w:proofErr w:type="gramEnd"/>
      <w:r>
        <w:t xml:space="preserve"> IA responsable et de confiance, fondée sur la transparence, la sécurité et l’éthique ;</w:t>
      </w:r>
    </w:p>
    <w:p w14:paraId="60EA9A20" w14:textId="4E19DC75" w:rsidR="00E431D1" w:rsidRDefault="00E431D1" w:rsidP="00EC7533">
      <w:pPr>
        <w:pStyle w:val="Paragraphedeliste"/>
        <w:numPr>
          <w:ilvl w:val="0"/>
          <w:numId w:val="4"/>
        </w:numPr>
        <w:tabs>
          <w:tab w:val="left" w:pos="1703"/>
        </w:tabs>
        <w:spacing w:after="120"/>
        <w:jc w:val="both"/>
      </w:pPr>
      <w:proofErr w:type="gramStart"/>
      <w:r>
        <w:t>une</w:t>
      </w:r>
      <w:proofErr w:type="gramEnd"/>
      <w:r>
        <w:t xml:space="preserve"> IA explicative et formatri</w:t>
      </w:r>
      <w:r w:rsidR="00B97AA2">
        <w:t xml:space="preserve">ce, au service de la recherche </w:t>
      </w:r>
      <w:r>
        <w:t>et de la montée en compétences des professionnels ;</w:t>
      </w:r>
    </w:p>
    <w:p w14:paraId="2327A4A7" w14:textId="23104867" w:rsidR="00E431D1" w:rsidRPr="0060420D" w:rsidRDefault="00E431D1" w:rsidP="00EC7533">
      <w:pPr>
        <w:pStyle w:val="Paragraphedeliste"/>
        <w:numPr>
          <w:ilvl w:val="0"/>
          <w:numId w:val="4"/>
        </w:numPr>
        <w:tabs>
          <w:tab w:val="left" w:pos="1703"/>
        </w:tabs>
        <w:spacing w:after="120"/>
        <w:jc w:val="both"/>
      </w:pPr>
      <w:proofErr w:type="gramStart"/>
      <w:r w:rsidRPr="0060420D">
        <w:t>une</w:t>
      </w:r>
      <w:proofErr w:type="gramEnd"/>
      <w:r w:rsidRPr="0060420D">
        <w:t xml:space="preserve"> IA pleinement applicable</w:t>
      </w:r>
      <w:r w:rsidR="00B6095E" w:rsidRPr="0060420D">
        <w:t xml:space="preserve"> et durable</w:t>
      </w:r>
      <w:r w:rsidRPr="0060420D">
        <w:t>, intégrée aux pratiques et aux systèmes d’information pour améliorer concrètement les parcours et la qualité des soins</w:t>
      </w:r>
      <w:r w:rsidR="00B6095E" w:rsidRPr="0060420D">
        <w:t xml:space="preserve"> et qui est pérenne</w:t>
      </w:r>
      <w:r w:rsidRPr="0060420D">
        <w:t>.</w:t>
      </w:r>
    </w:p>
    <w:p w14:paraId="291C3D4E" w14:textId="053B5472" w:rsidR="000C149F" w:rsidRPr="00E54A79" w:rsidRDefault="00E54A79" w:rsidP="00EC7533">
      <w:pPr>
        <w:tabs>
          <w:tab w:val="left" w:pos="1703"/>
        </w:tabs>
        <w:spacing w:after="120"/>
        <w:jc w:val="both"/>
        <w:rPr>
          <w:u w:val="single"/>
        </w:rPr>
      </w:pPr>
      <w:r w:rsidRPr="00E54A79">
        <w:rPr>
          <w:u w:val="single"/>
        </w:rPr>
        <w:t>2.3 T</w:t>
      </w:r>
      <w:r w:rsidR="004F6387" w:rsidRPr="00E54A79">
        <w:rPr>
          <w:u w:val="single"/>
        </w:rPr>
        <w:t>ypologies</w:t>
      </w:r>
      <w:r w:rsidRPr="00E54A79">
        <w:rPr>
          <w:u w:val="single"/>
        </w:rPr>
        <w:t xml:space="preserve"> de projets éligibles</w:t>
      </w:r>
      <w:r w:rsidR="000C149F" w:rsidRPr="00E54A79">
        <w:rPr>
          <w:u w:val="single"/>
        </w:rPr>
        <w:t xml:space="preserve"> : </w:t>
      </w:r>
    </w:p>
    <w:p w14:paraId="3CED3FAC" w14:textId="3844D6BE" w:rsidR="000C149F" w:rsidRPr="00DA1936" w:rsidRDefault="000C149F" w:rsidP="00EC7533">
      <w:pPr>
        <w:pStyle w:val="Paragraphedeliste"/>
        <w:numPr>
          <w:ilvl w:val="0"/>
          <w:numId w:val="7"/>
        </w:numPr>
        <w:spacing w:after="120"/>
        <w:jc w:val="both"/>
      </w:pPr>
      <w:proofErr w:type="gramStart"/>
      <w:r w:rsidRPr="00DA1936">
        <w:t>traitement</w:t>
      </w:r>
      <w:proofErr w:type="gramEnd"/>
      <w:r w:rsidRPr="00DA1936">
        <w:t xml:space="preserve"> </w:t>
      </w:r>
      <w:r w:rsidRPr="004661C7">
        <w:t>de données multiples de santé</w:t>
      </w:r>
      <w:r w:rsidRPr="00DA1936">
        <w:t xml:space="preserve"> </w:t>
      </w:r>
      <w:r w:rsidRPr="004661C7">
        <w:t>(hétérogénéité,</w:t>
      </w:r>
      <w:r w:rsidR="00B6095E">
        <w:t xml:space="preserve"> fiabilité,</w:t>
      </w:r>
      <w:r w:rsidRPr="004661C7">
        <w:t xml:space="preserve"> standardisation, </w:t>
      </w:r>
      <w:proofErr w:type="spellStart"/>
      <w:r w:rsidRPr="004661C7">
        <w:t>inter-opérabilité</w:t>
      </w:r>
      <w:proofErr w:type="spellEnd"/>
      <w:r w:rsidRPr="004661C7">
        <w:t>, échelles variables, stockage, sécurisation)</w:t>
      </w:r>
      <w:r w:rsidRPr="00DA1936">
        <w:t xml:space="preserve"> ;</w:t>
      </w:r>
    </w:p>
    <w:p w14:paraId="74B06F64" w14:textId="77777777" w:rsidR="000C149F" w:rsidRPr="004661C7" w:rsidRDefault="000C149F" w:rsidP="00EC7533">
      <w:pPr>
        <w:pStyle w:val="Paragraphedeliste"/>
        <w:numPr>
          <w:ilvl w:val="0"/>
          <w:numId w:val="7"/>
        </w:numPr>
        <w:spacing w:after="120"/>
        <w:jc w:val="both"/>
      </w:pPr>
      <w:proofErr w:type="gramStart"/>
      <w:r w:rsidRPr="004661C7">
        <w:t>meilleure</w:t>
      </w:r>
      <w:proofErr w:type="gramEnd"/>
      <w:r w:rsidRPr="004661C7">
        <w:t xml:space="preserve"> compréhension des mécanismes des maladies ;</w:t>
      </w:r>
    </w:p>
    <w:p w14:paraId="2FAE3B3A" w14:textId="738BF172" w:rsidR="000C149F" w:rsidRPr="004661C7" w:rsidRDefault="000C149F" w:rsidP="00EC7533">
      <w:pPr>
        <w:pStyle w:val="Paragraphedeliste"/>
        <w:numPr>
          <w:ilvl w:val="0"/>
          <w:numId w:val="7"/>
        </w:numPr>
        <w:spacing w:after="120"/>
        <w:jc w:val="both"/>
      </w:pPr>
      <w:proofErr w:type="gramStart"/>
      <w:r w:rsidRPr="004661C7">
        <w:t>développement</w:t>
      </w:r>
      <w:proofErr w:type="gramEnd"/>
      <w:r w:rsidRPr="004661C7">
        <w:t xml:space="preserve"> de la prévention primaire</w:t>
      </w:r>
      <w:r w:rsidR="006E3A40">
        <w:t>, secondaire (dépistage)</w:t>
      </w:r>
      <w:r w:rsidRPr="004661C7">
        <w:t xml:space="preserve"> et de l’éducation thérapeutique ainsi que sa personnalisation ;</w:t>
      </w:r>
    </w:p>
    <w:p w14:paraId="4A22E920" w14:textId="77777777" w:rsidR="000C149F" w:rsidRPr="004661C7" w:rsidRDefault="000C149F" w:rsidP="000C149F">
      <w:pPr>
        <w:pStyle w:val="Paragraphedeliste"/>
        <w:numPr>
          <w:ilvl w:val="0"/>
          <w:numId w:val="7"/>
        </w:numPr>
        <w:jc w:val="both"/>
      </w:pPr>
      <w:proofErr w:type="gramStart"/>
      <w:r w:rsidRPr="004661C7">
        <w:t>découverte</w:t>
      </w:r>
      <w:proofErr w:type="gramEnd"/>
      <w:r w:rsidRPr="004661C7">
        <w:t xml:space="preserve"> de nouveaux traitements ;</w:t>
      </w:r>
    </w:p>
    <w:p w14:paraId="38564E49" w14:textId="77777777" w:rsidR="000C149F" w:rsidRPr="00DA1936" w:rsidRDefault="000C149F" w:rsidP="000C149F">
      <w:pPr>
        <w:pStyle w:val="Paragraphedeliste"/>
        <w:numPr>
          <w:ilvl w:val="0"/>
          <w:numId w:val="7"/>
        </w:numPr>
        <w:jc w:val="both"/>
      </w:pPr>
      <w:proofErr w:type="gramStart"/>
      <w:r w:rsidRPr="00DA1936">
        <w:t>amélioration</w:t>
      </w:r>
      <w:proofErr w:type="gramEnd"/>
      <w:r w:rsidRPr="00DA1936">
        <w:t xml:space="preserve"> des diagnostics et pronostics (y compris la médecine prédictive) ;</w:t>
      </w:r>
    </w:p>
    <w:p w14:paraId="6206224E" w14:textId="77777777" w:rsidR="000C149F" w:rsidRPr="004661C7" w:rsidRDefault="000C149F" w:rsidP="000C149F">
      <w:pPr>
        <w:pStyle w:val="Paragraphedeliste"/>
        <w:numPr>
          <w:ilvl w:val="0"/>
          <w:numId w:val="7"/>
        </w:numPr>
        <w:jc w:val="both"/>
      </w:pPr>
      <w:proofErr w:type="gramStart"/>
      <w:r w:rsidRPr="00DA1936">
        <w:t>optimisation</w:t>
      </w:r>
      <w:proofErr w:type="gramEnd"/>
      <w:r w:rsidRPr="00DA1936">
        <w:t xml:space="preserve"> </w:t>
      </w:r>
      <w:r w:rsidRPr="004661C7">
        <w:t>et sécurisation</w:t>
      </w:r>
      <w:r w:rsidRPr="00DA1936">
        <w:t xml:space="preserve"> de la pratique </w:t>
      </w:r>
      <w:r w:rsidRPr="004661C7">
        <w:t>soignante</w:t>
      </w:r>
      <w:r w:rsidRPr="00DA1936">
        <w:t xml:space="preserve"> et dégager du temps médical</w:t>
      </w:r>
      <w:r w:rsidRPr="004661C7">
        <w:t xml:space="preserve">, paramédical, technique et administratif ; </w:t>
      </w:r>
    </w:p>
    <w:p w14:paraId="205EF7BC" w14:textId="77777777" w:rsidR="000C149F" w:rsidRPr="00DA1936" w:rsidRDefault="000C149F" w:rsidP="000C149F">
      <w:pPr>
        <w:pStyle w:val="Paragraphedeliste"/>
        <w:numPr>
          <w:ilvl w:val="0"/>
          <w:numId w:val="7"/>
        </w:numPr>
        <w:jc w:val="both"/>
      </w:pPr>
      <w:proofErr w:type="gramStart"/>
      <w:r w:rsidRPr="004661C7">
        <w:t>optimisation</w:t>
      </w:r>
      <w:proofErr w:type="gramEnd"/>
      <w:r w:rsidRPr="00DA1936">
        <w:t xml:space="preserve"> des parcours </w:t>
      </w:r>
      <w:r w:rsidRPr="004661C7">
        <w:t>de soins</w:t>
      </w:r>
      <w:r w:rsidRPr="00DA1936">
        <w:t xml:space="preserve"> du patient </w:t>
      </w:r>
      <w:r w:rsidRPr="004661C7">
        <w:t>(y compris avec l’appui de la télémédecine)</w:t>
      </w:r>
      <w:r w:rsidRPr="00DA1936">
        <w:t xml:space="preserve"> ;</w:t>
      </w:r>
    </w:p>
    <w:p w14:paraId="7652A243" w14:textId="77777777" w:rsidR="000C149F" w:rsidRPr="00DA1936" w:rsidRDefault="000C149F" w:rsidP="000C149F">
      <w:pPr>
        <w:pStyle w:val="Paragraphedeliste"/>
        <w:numPr>
          <w:ilvl w:val="0"/>
          <w:numId w:val="7"/>
        </w:numPr>
        <w:jc w:val="both"/>
      </w:pPr>
      <w:proofErr w:type="gramStart"/>
      <w:r w:rsidRPr="00DA1936">
        <w:t>prise</w:t>
      </w:r>
      <w:proofErr w:type="gramEnd"/>
      <w:r w:rsidRPr="00DA1936">
        <w:t xml:space="preserve"> en charge personnalisée de l’accompagnement et des soins du patient ;</w:t>
      </w:r>
    </w:p>
    <w:p w14:paraId="5B27E2AB" w14:textId="77777777" w:rsidR="000C149F" w:rsidRPr="00DA1936" w:rsidRDefault="000C149F" w:rsidP="000C149F">
      <w:pPr>
        <w:pStyle w:val="Paragraphedeliste"/>
        <w:numPr>
          <w:ilvl w:val="0"/>
          <w:numId w:val="7"/>
        </w:numPr>
        <w:jc w:val="both"/>
      </w:pPr>
      <w:proofErr w:type="gramStart"/>
      <w:r w:rsidRPr="00DA1936">
        <w:t>outils</w:t>
      </w:r>
      <w:proofErr w:type="gramEnd"/>
      <w:r w:rsidRPr="00DA1936">
        <w:t xml:space="preserve"> d’attractivité pour les professionnels concernés ;</w:t>
      </w:r>
    </w:p>
    <w:p w14:paraId="242F9D8E" w14:textId="77777777" w:rsidR="000C149F" w:rsidRPr="00DA1936" w:rsidRDefault="000C149F" w:rsidP="000C149F">
      <w:pPr>
        <w:pStyle w:val="Paragraphedeliste"/>
        <w:numPr>
          <w:ilvl w:val="0"/>
          <w:numId w:val="7"/>
        </w:numPr>
        <w:jc w:val="both"/>
      </w:pPr>
      <w:proofErr w:type="gramStart"/>
      <w:r w:rsidRPr="00DA1936">
        <w:t>simplification</w:t>
      </w:r>
      <w:proofErr w:type="gramEnd"/>
      <w:r w:rsidRPr="00DA1936">
        <w:t xml:space="preserve"> du pilotage des activités (</w:t>
      </w:r>
      <w:r w:rsidRPr="004661C7">
        <w:t>optimisation et planification</w:t>
      </w:r>
      <w:r w:rsidRPr="00DA1936">
        <w:t xml:space="preserve"> des ressources disponibles) ;</w:t>
      </w:r>
    </w:p>
    <w:p w14:paraId="51BC057C" w14:textId="744F6BCC" w:rsidR="000C149F" w:rsidRDefault="000C149F" w:rsidP="000C149F">
      <w:pPr>
        <w:pStyle w:val="Paragraphedeliste"/>
        <w:numPr>
          <w:ilvl w:val="0"/>
          <w:numId w:val="7"/>
        </w:numPr>
      </w:pPr>
      <w:proofErr w:type="gramStart"/>
      <w:r w:rsidRPr="004661C7">
        <w:t>amélioration</w:t>
      </w:r>
      <w:proofErr w:type="gramEnd"/>
      <w:r w:rsidRPr="004661C7">
        <w:t xml:space="preserve"> des organisations et fonctionnement des structures de santé</w:t>
      </w:r>
      <w:r w:rsidR="00A349AC">
        <w:t>.</w:t>
      </w:r>
    </w:p>
    <w:p w14:paraId="31219819" w14:textId="799AB70C" w:rsidR="00E54A79" w:rsidRPr="00E54A79" w:rsidRDefault="00E54A79" w:rsidP="00B5751C">
      <w:pPr>
        <w:tabs>
          <w:tab w:val="left" w:pos="1703"/>
        </w:tabs>
        <w:spacing w:after="0"/>
      </w:pPr>
      <w:r w:rsidRPr="00E54A79">
        <w:lastRenderedPageBreak/>
        <w:t xml:space="preserve">2.4 </w:t>
      </w:r>
      <w:r>
        <w:t>Perspectives</w:t>
      </w:r>
      <w:r w:rsidRPr="00E54A79">
        <w:t xml:space="preserve"> de l’AMI</w:t>
      </w:r>
      <w:r>
        <w:t> :</w:t>
      </w:r>
    </w:p>
    <w:p w14:paraId="2EF28452" w14:textId="77777777" w:rsidR="00E54A79" w:rsidRDefault="00E54A79" w:rsidP="00B5751C">
      <w:pPr>
        <w:tabs>
          <w:tab w:val="left" w:pos="1703"/>
        </w:tabs>
        <w:spacing w:after="0"/>
        <w:rPr>
          <w:highlight w:val="yellow"/>
        </w:rPr>
      </w:pPr>
    </w:p>
    <w:p w14:paraId="00AC020B" w14:textId="70D4CE12" w:rsidR="00B5751C" w:rsidRPr="00212EC9" w:rsidRDefault="00B5751C" w:rsidP="00E54A79">
      <w:pPr>
        <w:tabs>
          <w:tab w:val="left" w:pos="1703"/>
        </w:tabs>
        <w:spacing w:after="0"/>
        <w:jc w:val="both"/>
      </w:pPr>
      <w:r w:rsidRPr="00212EC9">
        <w:t xml:space="preserve">Il n’a pas pour objet d’attribuer des financements mais </w:t>
      </w:r>
      <w:r w:rsidRPr="00212EC9">
        <w:rPr>
          <w:b/>
        </w:rPr>
        <w:t>d’orienter les candidatures vers de potentiels financements</w:t>
      </w:r>
      <w:r w:rsidRPr="00212EC9">
        <w:t>, tels que :</w:t>
      </w:r>
    </w:p>
    <w:p w14:paraId="19378B60" w14:textId="77777777" w:rsidR="00B5751C" w:rsidRPr="00212EC9" w:rsidRDefault="00B5751C" w:rsidP="00E54A79">
      <w:pPr>
        <w:tabs>
          <w:tab w:val="left" w:pos="1703"/>
        </w:tabs>
        <w:spacing w:after="0"/>
        <w:jc w:val="both"/>
      </w:pPr>
      <w:r w:rsidRPr="00212EC9">
        <w:t>- les dispositifs Régionaux (PASS INNOVATION, Appel à projet Industrie du Futur, Programme France 2030 régionalisé, FRATRI…)</w:t>
      </w:r>
    </w:p>
    <w:p w14:paraId="5DF2B937" w14:textId="2B1FC505" w:rsidR="00B5751C" w:rsidRPr="00212EC9" w:rsidRDefault="00B5751C" w:rsidP="00E54A79">
      <w:pPr>
        <w:tabs>
          <w:tab w:val="left" w:pos="1703"/>
        </w:tabs>
        <w:spacing w:after="0"/>
        <w:jc w:val="both"/>
      </w:pPr>
      <w:r w:rsidRPr="00212EC9">
        <w:t>- les dispositifs Nationaux : Programme France 2030</w:t>
      </w:r>
    </w:p>
    <w:p w14:paraId="43B86BB1" w14:textId="2DA2E0C2" w:rsidR="00B5751C" w:rsidRPr="00212EC9" w:rsidRDefault="00B5751C" w:rsidP="00E54A79">
      <w:pPr>
        <w:tabs>
          <w:tab w:val="left" w:pos="1703"/>
        </w:tabs>
        <w:spacing w:after="0"/>
        <w:jc w:val="both"/>
      </w:pPr>
      <w:r w:rsidRPr="00212EC9">
        <w:t>- le Programme Régional des Fonds Structurels Européens 2021-2027 FEDER-FTJ</w:t>
      </w:r>
    </w:p>
    <w:p w14:paraId="0077B771" w14:textId="530CDBBE" w:rsidR="00B5751C" w:rsidRPr="00212EC9" w:rsidRDefault="00B5751C" w:rsidP="00E54A79">
      <w:pPr>
        <w:tabs>
          <w:tab w:val="left" w:pos="1703"/>
        </w:tabs>
        <w:spacing w:after="0"/>
        <w:jc w:val="both"/>
      </w:pPr>
      <w:r w:rsidRPr="00212EC9">
        <w:t xml:space="preserve">- les Programmes Européens de coopération (INTERREG) et programmes européens sectoriels </w:t>
      </w:r>
    </w:p>
    <w:p w14:paraId="2F56F3EC" w14:textId="77777777" w:rsidR="00EF20B4" w:rsidRPr="00212EC9" w:rsidRDefault="00EF20B4" w:rsidP="00E54A79">
      <w:pPr>
        <w:tabs>
          <w:tab w:val="left" w:pos="1703"/>
        </w:tabs>
        <w:spacing w:after="0"/>
        <w:jc w:val="both"/>
      </w:pPr>
    </w:p>
    <w:p w14:paraId="6D45707F" w14:textId="009619F3" w:rsidR="00EF20B4" w:rsidRPr="00212EC9" w:rsidRDefault="00EF20B4" w:rsidP="00E54A79">
      <w:pPr>
        <w:tabs>
          <w:tab w:val="left" w:pos="1703"/>
        </w:tabs>
        <w:jc w:val="both"/>
      </w:pPr>
      <w:r w:rsidRPr="00212EC9">
        <w:t>Le soutien du Conseil régional s’inscrira d’une part, dans le cadre de sa politique et de ses outils dédiés à l’innovation et se fera d’autre part, conformément aux régimes cadres exemptés de notification relatifs aux aides aux entreprises, à la protection de l’environnement, à la recherche, au développement et à l’innovation en vigueur.</w:t>
      </w:r>
    </w:p>
    <w:p w14:paraId="0E8D27E7" w14:textId="379FDEA3" w:rsidR="001E496F" w:rsidRDefault="001E496F" w:rsidP="00E54A79">
      <w:pPr>
        <w:tabs>
          <w:tab w:val="left" w:pos="1703"/>
        </w:tabs>
        <w:jc w:val="both"/>
      </w:pPr>
      <w:r w:rsidRPr="00212EC9">
        <w:t>Les structures chefs de files et services de la Région et de l’État potentiellement associés s’engagent à respecter strictement la confidentialité de l’ensemble des pièces et des éléments qui seront transmis en réponse à cet AMI.</w:t>
      </w:r>
    </w:p>
    <w:p w14:paraId="5DC6D7FD" w14:textId="33F8858E" w:rsidR="00E54A79" w:rsidRPr="00E54A79" w:rsidRDefault="00E54A79" w:rsidP="00E54A79">
      <w:pPr>
        <w:pStyle w:val="Paragraphedeliste"/>
        <w:numPr>
          <w:ilvl w:val="0"/>
          <w:numId w:val="11"/>
        </w:numPr>
        <w:tabs>
          <w:tab w:val="left" w:pos="1703"/>
        </w:tabs>
        <w:jc w:val="both"/>
        <w:rPr>
          <w:b/>
          <w:i/>
          <w:color w:val="4472C4" w:themeColor="accent5"/>
          <w:sz w:val="24"/>
          <w:szCs w:val="24"/>
          <w:u w:val="single"/>
        </w:rPr>
      </w:pPr>
      <w:r w:rsidRPr="00E54A79">
        <w:rPr>
          <w:b/>
          <w:i/>
          <w:color w:val="4472C4" w:themeColor="accent5"/>
          <w:sz w:val="24"/>
          <w:szCs w:val="24"/>
          <w:u w:val="single"/>
        </w:rPr>
        <w:t>Modalités de l’AMI</w:t>
      </w:r>
    </w:p>
    <w:p w14:paraId="602871C0" w14:textId="77777777" w:rsidR="00E54A79" w:rsidRPr="00E54A79" w:rsidRDefault="00E54A79" w:rsidP="00E54A79">
      <w:pPr>
        <w:pStyle w:val="Paragraphedeliste"/>
        <w:tabs>
          <w:tab w:val="left" w:pos="1703"/>
        </w:tabs>
        <w:jc w:val="both"/>
        <w:rPr>
          <w:i/>
          <w:u w:val="single"/>
        </w:rPr>
      </w:pPr>
    </w:p>
    <w:p w14:paraId="23D44C9D" w14:textId="225910AF" w:rsidR="006D6C8C" w:rsidRPr="00E54A79" w:rsidRDefault="006D6C8C" w:rsidP="00E54A79">
      <w:pPr>
        <w:pStyle w:val="Paragraphedeliste"/>
        <w:numPr>
          <w:ilvl w:val="1"/>
          <w:numId w:val="11"/>
        </w:numPr>
        <w:tabs>
          <w:tab w:val="left" w:pos="1703"/>
        </w:tabs>
        <w:jc w:val="both"/>
        <w:rPr>
          <w:b/>
        </w:rPr>
      </w:pPr>
      <w:r w:rsidRPr="00E54A79">
        <w:rPr>
          <w:b/>
        </w:rPr>
        <w:t>Qui peut répondre ?</w:t>
      </w:r>
    </w:p>
    <w:p w14:paraId="75D4FF46" w14:textId="54AF6155" w:rsidR="009E70AB" w:rsidRPr="00D605D5" w:rsidRDefault="00E431D1" w:rsidP="00BD1995">
      <w:pPr>
        <w:tabs>
          <w:tab w:val="left" w:pos="1703"/>
        </w:tabs>
        <w:jc w:val="both"/>
        <w:rPr>
          <w:b/>
        </w:rPr>
      </w:pPr>
      <w:r>
        <w:t>L’AMI s’adresse à l’ensemble des acteurs engagés dans l’innovation en santé : laboratoires de recherche, universités et grandes écoles, start</w:t>
      </w:r>
      <w:r w:rsidRPr="00E431D1">
        <w:rPr>
          <w:rFonts w:ascii="Cambria Math" w:hAnsi="Cambria Math" w:cs="Cambria Math"/>
        </w:rPr>
        <w:t>‑</w:t>
      </w:r>
      <w:r>
        <w:t xml:space="preserve">up, entreprises, </w:t>
      </w:r>
      <w:r w:rsidRPr="00E431D1">
        <w:rPr>
          <w:rFonts w:ascii="Calibri" w:hAnsi="Calibri" w:cs="Calibri"/>
        </w:rPr>
        <w:t>é</w:t>
      </w:r>
      <w:r>
        <w:t>tablissements de sant</w:t>
      </w:r>
      <w:r w:rsidRPr="00E431D1">
        <w:rPr>
          <w:rFonts w:ascii="Calibri" w:hAnsi="Calibri" w:cs="Calibri"/>
        </w:rPr>
        <w:t>é</w:t>
      </w:r>
      <w:r>
        <w:t xml:space="preserve"> et acteurs du m</w:t>
      </w:r>
      <w:r w:rsidRPr="00E431D1">
        <w:rPr>
          <w:rFonts w:ascii="Calibri" w:hAnsi="Calibri" w:cs="Calibri"/>
        </w:rPr>
        <w:t>é</w:t>
      </w:r>
      <w:r>
        <w:t>dico</w:t>
      </w:r>
      <w:r w:rsidRPr="00E431D1">
        <w:rPr>
          <w:rFonts w:ascii="Cambria Math" w:hAnsi="Cambria Math" w:cs="Cambria Math"/>
        </w:rPr>
        <w:t>‑</w:t>
      </w:r>
      <w:r>
        <w:t>social.</w:t>
      </w:r>
      <w:r w:rsidR="009E70AB">
        <w:t xml:space="preserve"> </w:t>
      </w:r>
      <w:r w:rsidR="009E70AB" w:rsidRPr="00D605D5">
        <w:rPr>
          <w:b/>
        </w:rPr>
        <w:t>Les répondants doivent nécessairement associer différents types d’acteurs indiqués ci-dessus, dans une logique de consortium.</w:t>
      </w:r>
    </w:p>
    <w:p w14:paraId="57C9B09D" w14:textId="2666B221" w:rsidR="009E70AB" w:rsidRPr="0060420D" w:rsidRDefault="009E70AB" w:rsidP="00BD1995">
      <w:pPr>
        <w:tabs>
          <w:tab w:val="left" w:pos="1703"/>
        </w:tabs>
        <w:jc w:val="both"/>
      </w:pPr>
      <w:r w:rsidRPr="0060420D">
        <w:t>Les projets avec des collaborations associant recherche, économie et secteur hospitalier sont particulièrement encouragés.</w:t>
      </w:r>
    </w:p>
    <w:p w14:paraId="68D89E0D" w14:textId="58B3E4D9" w:rsidR="006D6C8C" w:rsidRPr="00E54A79" w:rsidRDefault="006D6C8C" w:rsidP="00E54A79">
      <w:pPr>
        <w:pStyle w:val="Paragraphedeliste"/>
        <w:numPr>
          <w:ilvl w:val="1"/>
          <w:numId w:val="11"/>
        </w:numPr>
        <w:tabs>
          <w:tab w:val="left" w:pos="1703"/>
        </w:tabs>
        <w:jc w:val="both"/>
        <w:rPr>
          <w:b/>
        </w:rPr>
      </w:pPr>
      <w:r w:rsidRPr="00E54A79">
        <w:rPr>
          <w:b/>
        </w:rPr>
        <w:t>Comment répondre ?</w:t>
      </w:r>
    </w:p>
    <w:p w14:paraId="593435B5" w14:textId="5475388B" w:rsidR="002E564B" w:rsidRPr="0060420D" w:rsidRDefault="002E564B" w:rsidP="00BD1995">
      <w:pPr>
        <w:tabs>
          <w:tab w:val="left" w:pos="1703"/>
        </w:tabs>
        <w:jc w:val="both"/>
      </w:pPr>
      <w:r w:rsidRPr="0060420D">
        <w:t>Une let</w:t>
      </w:r>
      <w:r w:rsidRPr="00FE41D8">
        <w:t xml:space="preserve">tre d’intention, accompagnée </w:t>
      </w:r>
      <w:r w:rsidR="007867CF" w:rsidRPr="00FE41D8">
        <w:t>d’une fiche réponse</w:t>
      </w:r>
      <w:r w:rsidRPr="00FE41D8">
        <w:t xml:space="preserve"> disponible en pièce jointe, devra être remis</w:t>
      </w:r>
      <w:r w:rsidR="00E431D1" w:rsidRPr="00FE41D8">
        <w:t>e</w:t>
      </w:r>
      <w:r w:rsidRPr="00FE41D8">
        <w:t xml:space="preserve"> à l’adresse :</w:t>
      </w:r>
      <w:r w:rsidR="001E496F" w:rsidRPr="00FE41D8">
        <w:t xml:space="preserve"> </w:t>
      </w:r>
      <w:hyperlink r:id="rId8" w:history="1">
        <w:r w:rsidR="001E496F" w:rsidRPr="00FE41D8">
          <w:rPr>
            <w:rStyle w:val="Lienhypertexte"/>
          </w:rPr>
          <w:t>ami-IASante@hautsdefrance.fr</w:t>
        </w:r>
      </w:hyperlink>
    </w:p>
    <w:p w14:paraId="233B9577" w14:textId="78B7BBF1" w:rsidR="00442CD5" w:rsidRPr="00212EC9" w:rsidRDefault="00442CD5" w:rsidP="00E54A79">
      <w:pPr>
        <w:pStyle w:val="Paragraphedeliste"/>
        <w:numPr>
          <w:ilvl w:val="1"/>
          <w:numId w:val="11"/>
        </w:numPr>
        <w:tabs>
          <w:tab w:val="left" w:pos="1703"/>
        </w:tabs>
        <w:jc w:val="both"/>
        <w:rPr>
          <w:b/>
        </w:rPr>
      </w:pPr>
      <w:r w:rsidRPr="00212EC9">
        <w:rPr>
          <w:b/>
        </w:rPr>
        <w:t xml:space="preserve">Pourquoi répondre ? </w:t>
      </w:r>
    </w:p>
    <w:p w14:paraId="646CABA7" w14:textId="0B6A65F5" w:rsidR="00442CD5" w:rsidRPr="00212EC9" w:rsidRDefault="00442CD5" w:rsidP="00442CD5">
      <w:pPr>
        <w:tabs>
          <w:tab w:val="left" w:pos="1703"/>
        </w:tabs>
        <w:jc w:val="both"/>
      </w:pPr>
      <w:r w:rsidRPr="00212EC9">
        <w:t xml:space="preserve">Répondre </w:t>
      </w:r>
      <w:r w:rsidR="00EF20B4" w:rsidRPr="00212EC9">
        <w:t>au présent AMI</w:t>
      </w:r>
      <w:r w:rsidRPr="00212EC9">
        <w:t xml:space="preserve"> permet de participer à une dynamique de coopération régionale autour de la problématique énoncée. Cette dynamique aura pour but de repérer les projets et initiatives entrant dans le cadre de la chaine de valeur afin de valoriser les expertises existantes sur le territoire. </w:t>
      </w:r>
    </w:p>
    <w:p w14:paraId="38021204" w14:textId="77777777" w:rsidR="00442CD5" w:rsidRPr="00212EC9" w:rsidRDefault="00442CD5" w:rsidP="00442CD5">
      <w:pPr>
        <w:tabs>
          <w:tab w:val="left" w:pos="1703"/>
        </w:tabs>
        <w:jc w:val="both"/>
      </w:pPr>
      <w:r w:rsidRPr="00212EC9">
        <w:t xml:space="preserve">Les acteurs faisant état d’un besoin de financement autour d’un projet pourront être orientées pour étude vers les dispositifs existants selon le besoin et l’éligibilité aux opportunités disponibles. </w:t>
      </w:r>
    </w:p>
    <w:p w14:paraId="2366E7A4" w14:textId="660D52A9" w:rsidR="00741EDC" w:rsidRPr="00212EC9" w:rsidRDefault="00442CD5" w:rsidP="00442CD5">
      <w:pPr>
        <w:tabs>
          <w:tab w:val="left" w:pos="1703"/>
        </w:tabs>
        <w:jc w:val="both"/>
      </w:pPr>
      <w:r w:rsidRPr="00212EC9">
        <w:t>Un accompagnement technique pourra être proposé par les services de la Région et de l’État en Région, selon l’opportunité de financement identifiée.</w:t>
      </w:r>
    </w:p>
    <w:p w14:paraId="2829120F" w14:textId="77777777" w:rsidR="00741EDC" w:rsidRDefault="00741EDC">
      <w:pPr>
        <w:rPr>
          <w:highlight w:val="yellow"/>
        </w:rPr>
      </w:pPr>
      <w:r>
        <w:rPr>
          <w:highlight w:val="yellow"/>
        </w:rPr>
        <w:br w:type="page"/>
      </w:r>
    </w:p>
    <w:p w14:paraId="24ACDBC3" w14:textId="1B910594" w:rsidR="006D6C8C" w:rsidRPr="00E54A79" w:rsidRDefault="006D6C8C" w:rsidP="00E54A79">
      <w:pPr>
        <w:pStyle w:val="Paragraphedeliste"/>
        <w:numPr>
          <w:ilvl w:val="1"/>
          <w:numId w:val="11"/>
        </w:numPr>
        <w:tabs>
          <w:tab w:val="left" w:pos="1703"/>
        </w:tabs>
        <w:jc w:val="both"/>
        <w:rPr>
          <w:b/>
        </w:rPr>
      </w:pPr>
      <w:r w:rsidRPr="00E54A79">
        <w:rPr>
          <w:b/>
        </w:rPr>
        <w:lastRenderedPageBreak/>
        <w:t>Quel est le calendrier ?</w:t>
      </w:r>
    </w:p>
    <w:p w14:paraId="70E55BE8" w14:textId="77777777" w:rsidR="00442CD5" w:rsidRPr="00212EC9" w:rsidRDefault="00442CD5" w:rsidP="00442CD5">
      <w:pPr>
        <w:tabs>
          <w:tab w:val="left" w:pos="1703"/>
        </w:tabs>
        <w:jc w:val="both"/>
      </w:pPr>
      <w:r w:rsidRPr="00212EC9">
        <w:t>L'AMI est ouvert pour une durée de deux ans à compter de sa date de publication, dans la perspective de se clôturer en amont de la prochaine période de programmation des fonds européens (2028-2034).</w:t>
      </w:r>
    </w:p>
    <w:p w14:paraId="72213231" w14:textId="783C9FB2" w:rsidR="00442CD5" w:rsidRPr="00392425" w:rsidRDefault="00442CD5" w:rsidP="00392425">
      <w:pPr>
        <w:tabs>
          <w:tab w:val="left" w:pos="1703"/>
        </w:tabs>
        <w:jc w:val="both"/>
        <w:rPr>
          <w:b/>
        </w:rPr>
      </w:pPr>
      <w:r w:rsidRPr="00212EC9">
        <w:t>Les projets et contributions seront étudiés au fil de l’eau.</w:t>
      </w:r>
    </w:p>
    <w:p w14:paraId="01387ECD" w14:textId="1BD17E97" w:rsidR="006D6C8C" w:rsidRPr="00E54A79" w:rsidRDefault="006D6C8C" w:rsidP="00E54A79">
      <w:pPr>
        <w:pStyle w:val="Paragraphedeliste"/>
        <w:numPr>
          <w:ilvl w:val="1"/>
          <w:numId w:val="11"/>
        </w:numPr>
        <w:tabs>
          <w:tab w:val="left" w:pos="1703"/>
        </w:tabs>
        <w:jc w:val="both"/>
        <w:rPr>
          <w:b/>
        </w:rPr>
      </w:pPr>
      <w:r w:rsidRPr="00E54A79">
        <w:rPr>
          <w:b/>
        </w:rPr>
        <w:t>Comment se passera l’</w:t>
      </w:r>
      <w:r w:rsidR="001E496F">
        <w:rPr>
          <w:b/>
        </w:rPr>
        <w:t>analyse</w:t>
      </w:r>
      <w:r w:rsidRPr="00E54A79">
        <w:rPr>
          <w:b/>
        </w:rPr>
        <w:t xml:space="preserve"> ? </w:t>
      </w:r>
    </w:p>
    <w:p w14:paraId="3C7DC019" w14:textId="480758CD" w:rsidR="001E496F" w:rsidRDefault="001E496F" w:rsidP="001E496F">
      <w:pPr>
        <w:tabs>
          <w:tab w:val="left" w:pos="1703"/>
        </w:tabs>
        <w:jc w:val="both"/>
      </w:pPr>
      <w:r w:rsidRPr="0060420D">
        <w:t>Les projets proposés devront tenir compte des critères précisés dan</w:t>
      </w:r>
      <w:r>
        <w:t>s la note de cadrage ci-jointe, selon :</w:t>
      </w:r>
    </w:p>
    <w:p w14:paraId="40E71421" w14:textId="616EDC5C" w:rsidR="0088665F" w:rsidRDefault="0088665F">
      <w:pPr>
        <w:pStyle w:val="Paragraphedeliste"/>
        <w:numPr>
          <w:ilvl w:val="0"/>
          <w:numId w:val="4"/>
        </w:numPr>
        <w:tabs>
          <w:tab w:val="left" w:pos="1703"/>
        </w:tabs>
        <w:jc w:val="both"/>
      </w:pPr>
      <w:proofErr w:type="gramStart"/>
      <w:r w:rsidRPr="00BD1995">
        <w:t>son</w:t>
      </w:r>
      <w:proofErr w:type="gramEnd"/>
      <w:r w:rsidRPr="00BD1995">
        <w:t xml:space="preserve"> intérêt stratégique pour la régi</w:t>
      </w:r>
      <w:r>
        <w:t>on, tant sur le plan sanitaire,</w:t>
      </w:r>
      <w:r w:rsidRPr="00BD1995">
        <w:t xml:space="preserve"> socio</w:t>
      </w:r>
      <w:r w:rsidRPr="00BD1995">
        <w:rPr>
          <w:rFonts w:ascii="Cambria Math" w:hAnsi="Cambria Math" w:cs="Cambria Math"/>
        </w:rPr>
        <w:t>‑</w:t>
      </w:r>
      <w:r w:rsidRPr="00BD1995">
        <w:rPr>
          <w:rFonts w:ascii="Calibri" w:hAnsi="Calibri" w:cs="Calibri"/>
        </w:rPr>
        <w:t>é</w:t>
      </w:r>
      <w:r w:rsidRPr="00BD1995">
        <w:t>conomique</w:t>
      </w:r>
      <w:r>
        <w:t xml:space="preserve"> </w:t>
      </w:r>
      <w:r w:rsidRPr="00BD1995">
        <w:t xml:space="preserve"> ;</w:t>
      </w:r>
    </w:p>
    <w:p w14:paraId="15D5C480" w14:textId="13EEE9D5" w:rsidR="00BD1995" w:rsidRPr="003F315C" w:rsidRDefault="00BD1995">
      <w:pPr>
        <w:pStyle w:val="Paragraphedeliste"/>
        <w:numPr>
          <w:ilvl w:val="0"/>
          <w:numId w:val="4"/>
        </w:numPr>
        <w:tabs>
          <w:tab w:val="left" w:pos="1703"/>
        </w:tabs>
        <w:jc w:val="both"/>
      </w:pPr>
      <w:proofErr w:type="gramStart"/>
      <w:r w:rsidRPr="003F315C">
        <w:t>sa</w:t>
      </w:r>
      <w:proofErr w:type="gramEnd"/>
      <w:r w:rsidRPr="003F315C">
        <w:t xml:space="preserve"> capacité à répondre aux </w:t>
      </w:r>
      <w:r w:rsidR="00BA08D5" w:rsidRPr="003F315C">
        <w:t>priorité</w:t>
      </w:r>
      <w:r w:rsidR="00BA08D5">
        <w:t>s</w:t>
      </w:r>
      <w:r w:rsidR="0088665F" w:rsidRPr="003F315C">
        <w:t xml:space="preserve"> </w:t>
      </w:r>
      <w:r w:rsidRPr="003F315C">
        <w:t>identifié</w:t>
      </w:r>
      <w:r w:rsidR="00BA08D5">
        <w:t>e</w:t>
      </w:r>
      <w:r w:rsidRPr="003F315C">
        <w:t>s</w:t>
      </w:r>
      <w:r w:rsidR="001F6343" w:rsidRPr="003F315C">
        <w:t xml:space="preserve"> et aux typologies de projets</w:t>
      </w:r>
      <w:r w:rsidRPr="003F315C">
        <w:t xml:space="preserve"> ;</w:t>
      </w:r>
    </w:p>
    <w:p w14:paraId="5A2C02EE" w14:textId="5EE730DF" w:rsidR="00FD727B" w:rsidRPr="003F315C" w:rsidRDefault="00A202FC">
      <w:pPr>
        <w:pStyle w:val="Paragraphedeliste"/>
        <w:numPr>
          <w:ilvl w:val="0"/>
          <w:numId w:val="4"/>
        </w:numPr>
        <w:tabs>
          <w:tab w:val="left" w:pos="1703"/>
        </w:tabs>
        <w:jc w:val="both"/>
      </w:pPr>
      <w:proofErr w:type="gramStart"/>
      <w:r w:rsidRPr="003F315C">
        <w:t>l’évolution</w:t>
      </w:r>
      <w:proofErr w:type="gramEnd"/>
      <w:r w:rsidRPr="003F315C">
        <w:t xml:space="preserve"> de sa</w:t>
      </w:r>
      <w:r w:rsidR="00FD727B" w:rsidRPr="003F315C">
        <w:t xml:space="preserve"> maturité</w:t>
      </w:r>
      <w:r w:rsidR="004B6AFB">
        <w:t>, qui pourra être mesurée par exemple par l’échelle SRL en mettant en évidence une situation initiale et finale</w:t>
      </w:r>
      <w:r w:rsidR="00FD727B" w:rsidRPr="003F315C">
        <w:t xml:space="preserve"> ; </w:t>
      </w:r>
    </w:p>
    <w:p w14:paraId="0841FC71" w14:textId="4EBAE864" w:rsidR="0088665F" w:rsidRPr="0088665F" w:rsidRDefault="0088665F" w:rsidP="004661C7">
      <w:pPr>
        <w:pStyle w:val="Paragraphedeliste"/>
        <w:numPr>
          <w:ilvl w:val="0"/>
          <w:numId w:val="4"/>
        </w:numPr>
        <w:jc w:val="both"/>
      </w:pPr>
      <w:proofErr w:type="gramStart"/>
      <w:r>
        <w:t>ses</w:t>
      </w:r>
      <w:proofErr w:type="gramEnd"/>
      <w:r w:rsidRPr="0088665F">
        <w:t xml:space="preserve"> impact</w:t>
      </w:r>
      <w:r>
        <w:t>s</w:t>
      </w:r>
      <w:r w:rsidRPr="0088665F">
        <w:t xml:space="preserve"> </w:t>
      </w:r>
      <w:r>
        <w:t xml:space="preserve">à travers son potentiel scientifique, ses effets </w:t>
      </w:r>
      <w:r w:rsidRPr="0088665F">
        <w:t>en termes d’emplois, d’attractivité et de création de filières intégrées  ;</w:t>
      </w:r>
    </w:p>
    <w:p w14:paraId="01790948" w14:textId="664AB659" w:rsidR="00E46E3E" w:rsidRDefault="00E46E3E">
      <w:pPr>
        <w:pStyle w:val="Paragraphedeliste"/>
        <w:numPr>
          <w:ilvl w:val="0"/>
          <w:numId w:val="4"/>
        </w:numPr>
        <w:tabs>
          <w:tab w:val="left" w:pos="1703"/>
        </w:tabs>
        <w:jc w:val="both"/>
      </w:pPr>
      <w:proofErr w:type="gramStart"/>
      <w:r>
        <w:t>son</w:t>
      </w:r>
      <w:proofErr w:type="gramEnd"/>
      <w:r>
        <w:t xml:space="preserve"> maillage territorial et les retombées pour les habitants de la région</w:t>
      </w:r>
      <w:r w:rsidR="001E6782">
        <w:t>.</w:t>
      </w:r>
    </w:p>
    <w:p w14:paraId="5B425E47" w14:textId="6DAC49C8" w:rsidR="004B6AFB" w:rsidRPr="00BD1995" w:rsidRDefault="004B6AFB">
      <w:pPr>
        <w:pStyle w:val="Paragraphedeliste"/>
        <w:numPr>
          <w:ilvl w:val="0"/>
          <w:numId w:val="4"/>
        </w:numPr>
        <w:tabs>
          <w:tab w:val="left" w:pos="1703"/>
        </w:tabs>
        <w:jc w:val="both"/>
      </w:pPr>
      <w:r>
        <w:t>Sa capacité à fédérer les acteurs compétents en région, si possible dans une dimension multicentrique.</w:t>
      </w:r>
    </w:p>
    <w:p w14:paraId="38594705" w14:textId="77777777" w:rsidR="001E496F" w:rsidRDefault="00BD1995" w:rsidP="00BD1995">
      <w:pPr>
        <w:tabs>
          <w:tab w:val="left" w:pos="1703"/>
        </w:tabs>
        <w:jc w:val="both"/>
      </w:pPr>
      <w:r w:rsidRPr="00BD1995">
        <w:t xml:space="preserve">Les </w:t>
      </w:r>
      <w:r w:rsidRPr="0060420D">
        <w:t xml:space="preserve">dossiers seront examinés par les structures partenaires de l’AMI </w:t>
      </w:r>
      <w:r w:rsidR="000A6572" w:rsidRPr="0060420D">
        <w:t>au vu de leur expertise</w:t>
      </w:r>
      <w:r w:rsidRPr="0060420D">
        <w:t xml:space="preserve">. </w:t>
      </w:r>
    </w:p>
    <w:p w14:paraId="37028B54" w14:textId="216631F6" w:rsidR="00BD1995" w:rsidRPr="0060420D" w:rsidRDefault="00BD1995" w:rsidP="00BD1995">
      <w:pPr>
        <w:tabs>
          <w:tab w:val="left" w:pos="1703"/>
        </w:tabs>
        <w:jc w:val="both"/>
      </w:pPr>
      <w:r w:rsidRPr="0060420D">
        <w:t xml:space="preserve">Les liens éventuels </w:t>
      </w:r>
      <w:r w:rsidR="000A6572" w:rsidRPr="0060420D">
        <w:t xml:space="preserve">avec </w:t>
      </w:r>
      <w:proofErr w:type="gramStart"/>
      <w:r w:rsidR="000A6572" w:rsidRPr="0060420D">
        <w:t xml:space="preserve">les </w:t>
      </w:r>
      <w:r w:rsidR="00221478" w:rsidRPr="0060420D">
        <w:t>autres AMI</w:t>
      </w:r>
      <w:proofErr w:type="gramEnd"/>
      <w:r w:rsidR="00221478" w:rsidRPr="0060420D">
        <w:t xml:space="preserve"> présentés dans la délibération « Feuille de route « Accélérer l'innovation en Hauts-de-France </w:t>
      </w:r>
      <w:r w:rsidR="00660F41" w:rsidRPr="0060420D">
        <w:t xml:space="preserve">» </w:t>
      </w:r>
      <w:r w:rsidR="001E496F">
        <w:t>devront être</w:t>
      </w:r>
      <w:r w:rsidRPr="0060420D">
        <w:t xml:space="preserve"> pris en compte.</w:t>
      </w:r>
      <w:r w:rsidR="004B6AFB">
        <w:t xml:space="preserve"> En fonction des objectifs visés</w:t>
      </w:r>
      <w:r w:rsidR="00971812">
        <w:t xml:space="preserve"> par</w:t>
      </w:r>
      <w:r w:rsidR="004B6AFB">
        <w:t xml:space="preserve"> chaque proposition, il sera possible de </w:t>
      </w:r>
      <w:r w:rsidR="00971812">
        <w:t>la</w:t>
      </w:r>
      <w:r w:rsidR="00681467">
        <w:t xml:space="preserve"> </w:t>
      </w:r>
      <w:r w:rsidR="004B6AFB">
        <w:t xml:space="preserve">rediriger vers un </w:t>
      </w:r>
      <w:proofErr w:type="gramStart"/>
      <w:r w:rsidR="004B6AFB">
        <w:t>des autres AMI</w:t>
      </w:r>
      <w:proofErr w:type="gramEnd"/>
      <w:r w:rsidR="00681467">
        <w:t xml:space="preserve"> </w:t>
      </w:r>
      <w:r w:rsidR="004B6AFB">
        <w:t>visant à accélérer l’innovation dans les Hauts-de-France</w:t>
      </w:r>
      <w:r w:rsidR="00681467">
        <w:t xml:space="preserve">, </w:t>
      </w:r>
      <w:r w:rsidR="00971812">
        <w:t xml:space="preserve">qui serait </w:t>
      </w:r>
      <w:r w:rsidR="00681467">
        <w:t>mieux adapté</w:t>
      </w:r>
      <w:r w:rsidR="004B6AFB">
        <w:t>.</w:t>
      </w:r>
    </w:p>
    <w:p w14:paraId="7736C4CF" w14:textId="2B138ACE" w:rsidR="009E52DD" w:rsidRPr="00E54A79" w:rsidRDefault="009E52DD" w:rsidP="00E54A79">
      <w:pPr>
        <w:pStyle w:val="Paragraphedeliste"/>
        <w:numPr>
          <w:ilvl w:val="1"/>
          <w:numId w:val="11"/>
        </w:numPr>
        <w:tabs>
          <w:tab w:val="left" w:pos="1703"/>
        </w:tabs>
        <w:jc w:val="both"/>
        <w:rPr>
          <w:b/>
        </w:rPr>
      </w:pPr>
      <w:r w:rsidRPr="00E54A79">
        <w:rPr>
          <w:b/>
        </w:rPr>
        <w:t>Qui puis-je contacter en cas de question ?</w:t>
      </w:r>
    </w:p>
    <w:p w14:paraId="29F0E367" w14:textId="1F62A5F9" w:rsidR="001E496F" w:rsidRDefault="009E52DD" w:rsidP="009E52DD">
      <w:pPr>
        <w:tabs>
          <w:tab w:val="left" w:pos="1703"/>
        </w:tabs>
        <w:jc w:val="both"/>
      </w:pPr>
      <w:r w:rsidRPr="00212EC9">
        <w:t xml:space="preserve">Pour toutes questions sur les modalités de réponses, les éléments attendus, vous pouvez adresser un mail à l’adresse suivante : </w:t>
      </w:r>
      <w:hyperlink r:id="rId9" w:history="1">
        <w:r w:rsidR="001E496F" w:rsidRPr="00204274">
          <w:rPr>
            <w:rStyle w:val="Lienhypertexte"/>
          </w:rPr>
          <w:t>ami-IASante@hautsdefrance.fr</w:t>
        </w:r>
      </w:hyperlink>
      <w:r w:rsidR="001E496F">
        <w:t xml:space="preserve"> </w:t>
      </w:r>
    </w:p>
    <w:p w14:paraId="441510EA" w14:textId="77777777" w:rsidR="009E52DD" w:rsidRDefault="009E52DD" w:rsidP="00BD1995">
      <w:pPr>
        <w:tabs>
          <w:tab w:val="left" w:pos="1703"/>
        </w:tabs>
        <w:jc w:val="both"/>
      </w:pPr>
    </w:p>
    <w:p w14:paraId="69945B66" w14:textId="77777777" w:rsidR="002E564B" w:rsidRPr="00EF7F5E" w:rsidRDefault="002E564B" w:rsidP="002E564B">
      <w:pPr>
        <w:tabs>
          <w:tab w:val="left" w:pos="1703"/>
        </w:tabs>
        <w:jc w:val="both"/>
      </w:pPr>
    </w:p>
    <w:sectPr w:rsidR="002E564B" w:rsidRPr="00EF7F5E" w:rsidSect="00B752D4">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9BEC7" w14:textId="77777777" w:rsidR="00625627" w:rsidRDefault="00625627" w:rsidP="00EC7533">
      <w:pPr>
        <w:spacing w:after="0" w:line="240" w:lineRule="auto"/>
      </w:pPr>
      <w:r>
        <w:separator/>
      </w:r>
    </w:p>
  </w:endnote>
  <w:endnote w:type="continuationSeparator" w:id="0">
    <w:p w14:paraId="2B4659DC" w14:textId="77777777" w:rsidR="00625627" w:rsidRDefault="00625627" w:rsidP="00EC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6CC2" w14:textId="6F35D88F" w:rsidR="00EC7533" w:rsidRDefault="00EC7533">
    <w:pPr>
      <w:pStyle w:val="Pieddepage"/>
    </w:pPr>
    <w:r w:rsidRPr="00EC7533">
      <w:rPr>
        <w:noProof/>
        <w:lang w:eastAsia="fr-FR"/>
      </w:rPr>
      <w:drawing>
        <wp:inline distT="0" distB="0" distL="0" distR="0" wp14:anchorId="7FC1E39A" wp14:editId="01D10517">
          <wp:extent cx="5759450" cy="8045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804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56D92" w14:textId="77777777" w:rsidR="00625627" w:rsidRDefault="00625627" w:rsidP="00EC7533">
      <w:pPr>
        <w:spacing w:after="0" w:line="240" w:lineRule="auto"/>
      </w:pPr>
      <w:r>
        <w:separator/>
      </w:r>
    </w:p>
  </w:footnote>
  <w:footnote w:type="continuationSeparator" w:id="0">
    <w:p w14:paraId="0833CB5F" w14:textId="77777777" w:rsidR="00625627" w:rsidRDefault="00625627" w:rsidP="00EC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D63"/>
    <w:multiLevelType w:val="hybridMultilevel"/>
    <w:tmpl w:val="486CAFA2"/>
    <w:lvl w:ilvl="0" w:tplc="97B2ED28">
      <w:start w:val="1"/>
      <w:numFmt w:val="bullet"/>
      <w:lvlText w:val="o"/>
      <w:lvlJc w:val="left"/>
      <w:pPr>
        <w:ind w:left="720" w:hanging="360"/>
      </w:pPr>
      <w:rPr>
        <w:rFonts w:ascii="Courier New" w:hAnsi="Courier New"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72CB2"/>
    <w:multiLevelType w:val="hybridMultilevel"/>
    <w:tmpl w:val="243448D6"/>
    <w:lvl w:ilvl="0" w:tplc="668EBF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F44468"/>
    <w:multiLevelType w:val="hybridMultilevel"/>
    <w:tmpl w:val="77C07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AF1B43"/>
    <w:multiLevelType w:val="hybridMultilevel"/>
    <w:tmpl w:val="D7C4FCAE"/>
    <w:lvl w:ilvl="0" w:tplc="B2FE5BEC">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EC1805"/>
    <w:multiLevelType w:val="hybridMultilevel"/>
    <w:tmpl w:val="EA9E6832"/>
    <w:lvl w:ilvl="0" w:tplc="0CB010F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3015FA"/>
    <w:multiLevelType w:val="multilevel"/>
    <w:tmpl w:val="9BC2D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2421E3"/>
    <w:multiLevelType w:val="hybridMultilevel"/>
    <w:tmpl w:val="630ACF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3F427518"/>
    <w:multiLevelType w:val="hybridMultilevel"/>
    <w:tmpl w:val="77C07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950AB2"/>
    <w:multiLevelType w:val="hybridMultilevel"/>
    <w:tmpl w:val="E0A01CD4"/>
    <w:lvl w:ilvl="0" w:tplc="B28E884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BB78A5"/>
    <w:multiLevelType w:val="hybridMultilevel"/>
    <w:tmpl w:val="77C0720E"/>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0" w15:restartNumberingAfterBreak="0">
    <w:nsid w:val="68037FC0"/>
    <w:multiLevelType w:val="hybridMultilevel"/>
    <w:tmpl w:val="8B6E714E"/>
    <w:lvl w:ilvl="0" w:tplc="F958517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4"/>
  </w:num>
  <w:num w:numId="5">
    <w:abstractNumId w:val="8"/>
  </w:num>
  <w:num w:numId="6">
    <w:abstractNumId w:val="7"/>
  </w:num>
  <w:num w:numId="7">
    <w:abstractNumId w:val="0"/>
  </w:num>
  <w:num w:numId="8">
    <w:abstractNumId w:val="6"/>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8D"/>
    <w:rsid w:val="00043B94"/>
    <w:rsid w:val="000A6572"/>
    <w:rsid w:val="000B6BDB"/>
    <w:rsid w:val="000C149F"/>
    <w:rsid w:val="0013095B"/>
    <w:rsid w:val="00163BE5"/>
    <w:rsid w:val="00171B78"/>
    <w:rsid w:val="001D0A9B"/>
    <w:rsid w:val="001E496F"/>
    <w:rsid w:val="001E6782"/>
    <w:rsid w:val="001F6343"/>
    <w:rsid w:val="00204274"/>
    <w:rsid w:val="00212EC9"/>
    <w:rsid w:val="00221478"/>
    <w:rsid w:val="00231BF3"/>
    <w:rsid w:val="0028043A"/>
    <w:rsid w:val="002A628C"/>
    <w:rsid w:val="002C6D72"/>
    <w:rsid w:val="002E564B"/>
    <w:rsid w:val="00347C91"/>
    <w:rsid w:val="00390F69"/>
    <w:rsid w:val="00392425"/>
    <w:rsid w:val="003E5EFD"/>
    <w:rsid w:val="003F315C"/>
    <w:rsid w:val="00442CD5"/>
    <w:rsid w:val="0044658D"/>
    <w:rsid w:val="004661C7"/>
    <w:rsid w:val="0047019C"/>
    <w:rsid w:val="0049200C"/>
    <w:rsid w:val="0049593B"/>
    <w:rsid w:val="004B02E1"/>
    <w:rsid w:val="004B6AFB"/>
    <w:rsid w:val="004F6387"/>
    <w:rsid w:val="0060420D"/>
    <w:rsid w:val="00625627"/>
    <w:rsid w:val="00636688"/>
    <w:rsid w:val="00660F41"/>
    <w:rsid w:val="00681467"/>
    <w:rsid w:val="006D6C8C"/>
    <w:rsid w:val="006E3A40"/>
    <w:rsid w:val="006F42A2"/>
    <w:rsid w:val="00741EDC"/>
    <w:rsid w:val="007867CF"/>
    <w:rsid w:val="007A31A4"/>
    <w:rsid w:val="00817876"/>
    <w:rsid w:val="0086003C"/>
    <w:rsid w:val="0088665F"/>
    <w:rsid w:val="008A5AEA"/>
    <w:rsid w:val="008D1814"/>
    <w:rsid w:val="00951309"/>
    <w:rsid w:val="00971812"/>
    <w:rsid w:val="009E52DD"/>
    <w:rsid w:val="009E70AB"/>
    <w:rsid w:val="009F6E95"/>
    <w:rsid w:val="00A202FC"/>
    <w:rsid w:val="00A349AC"/>
    <w:rsid w:val="00A373FC"/>
    <w:rsid w:val="00A41A9C"/>
    <w:rsid w:val="00B2342D"/>
    <w:rsid w:val="00B5751C"/>
    <w:rsid w:val="00B6095E"/>
    <w:rsid w:val="00B752D4"/>
    <w:rsid w:val="00B8126B"/>
    <w:rsid w:val="00B97AA2"/>
    <w:rsid w:val="00BA08D5"/>
    <w:rsid w:val="00BD1995"/>
    <w:rsid w:val="00CB0A4B"/>
    <w:rsid w:val="00CC5C35"/>
    <w:rsid w:val="00CE7A62"/>
    <w:rsid w:val="00D10C6C"/>
    <w:rsid w:val="00D1242A"/>
    <w:rsid w:val="00D20A9A"/>
    <w:rsid w:val="00D22DC5"/>
    <w:rsid w:val="00D35E81"/>
    <w:rsid w:val="00D42E81"/>
    <w:rsid w:val="00D47C87"/>
    <w:rsid w:val="00D605D5"/>
    <w:rsid w:val="00DA1936"/>
    <w:rsid w:val="00E3305E"/>
    <w:rsid w:val="00E431D1"/>
    <w:rsid w:val="00E46E3E"/>
    <w:rsid w:val="00E54A79"/>
    <w:rsid w:val="00EC00F4"/>
    <w:rsid w:val="00EC7533"/>
    <w:rsid w:val="00EF1871"/>
    <w:rsid w:val="00EF20B4"/>
    <w:rsid w:val="00EF7F5E"/>
    <w:rsid w:val="00F25158"/>
    <w:rsid w:val="00F80230"/>
    <w:rsid w:val="00FD727B"/>
    <w:rsid w:val="00FE4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7033"/>
  <w15:chartTrackingRefBased/>
  <w15:docId w15:val="{7D6FAADE-0DB1-459C-952B-C043708E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L,lp1"/>
    <w:basedOn w:val="Normal"/>
    <w:uiPriority w:val="34"/>
    <w:qFormat/>
    <w:rsid w:val="006D6C8C"/>
    <w:pPr>
      <w:ind w:left="720"/>
      <w:contextualSpacing/>
    </w:pPr>
  </w:style>
  <w:style w:type="character" w:styleId="Marquedecommentaire">
    <w:name w:val="annotation reference"/>
    <w:basedOn w:val="Policepardfaut"/>
    <w:uiPriority w:val="99"/>
    <w:semiHidden/>
    <w:unhideWhenUsed/>
    <w:rsid w:val="00F80230"/>
    <w:rPr>
      <w:sz w:val="16"/>
      <w:szCs w:val="16"/>
    </w:rPr>
  </w:style>
  <w:style w:type="paragraph" w:styleId="Commentaire">
    <w:name w:val="annotation text"/>
    <w:basedOn w:val="Normal"/>
    <w:link w:val="CommentaireCar"/>
    <w:uiPriority w:val="99"/>
    <w:semiHidden/>
    <w:unhideWhenUsed/>
    <w:rsid w:val="00F80230"/>
    <w:pPr>
      <w:spacing w:line="240" w:lineRule="auto"/>
    </w:pPr>
    <w:rPr>
      <w:sz w:val="20"/>
      <w:szCs w:val="20"/>
    </w:rPr>
  </w:style>
  <w:style w:type="character" w:customStyle="1" w:styleId="CommentaireCar">
    <w:name w:val="Commentaire Car"/>
    <w:basedOn w:val="Policepardfaut"/>
    <w:link w:val="Commentaire"/>
    <w:uiPriority w:val="99"/>
    <w:semiHidden/>
    <w:rsid w:val="00F80230"/>
    <w:rPr>
      <w:sz w:val="20"/>
      <w:szCs w:val="20"/>
    </w:rPr>
  </w:style>
  <w:style w:type="paragraph" w:styleId="Objetducommentaire">
    <w:name w:val="annotation subject"/>
    <w:basedOn w:val="Commentaire"/>
    <w:next w:val="Commentaire"/>
    <w:link w:val="ObjetducommentaireCar"/>
    <w:uiPriority w:val="99"/>
    <w:semiHidden/>
    <w:unhideWhenUsed/>
    <w:rsid w:val="00F80230"/>
    <w:rPr>
      <w:b/>
      <w:bCs/>
    </w:rPr>
  </w:style>
  <w:style w:type="character" w:customStyle="1" w:styleId="ObjetducommentaireCar">
    <w:name w:val="Objet du commentaire Car"/>
    <w:basedOn w:val="CommentaireCar"/>
    <w:link w:val="Objetducommentaire"/>
    <w:uiPriority w:val="99"/>
    <w:semiHidden/>
    <w:rsid w:val="00F80230"/>
    <w:rPr>
      <w:b/>
      <w:bCs/>
      <w:sz w:val="20"/>
      <w:szCs w:val="20"/>
    </w:rPr>
  </w:style>
  <w:style w:type="paragraph" w:styleId="Textedebulles">
    <w:name w:val="Balloon Text"/>
    <w:basedOn w:val="Normal"/>
    <w:link w:val="TextedebullesCar"/>
    <w:uiPriority w:val="99"/>
    <w:semiHidden/>
    <w:unhideWhenUsed/>
    <w:rsid w:val="00F802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0230"/>
    <w:rPr>
      <w:rFonts w:ascii="Segoe UI" w:hAnsi="Segoe UI" w:cs="Segoe UI"/>
      <w:sz w:val="18"/>
      <w:szCs w:val="18"/>
    </w:rPr>
  </w:style>
  <w:style w:type="table" w:styleId="Grilledutableau">
    <w:name w:val="Table Grid"/>
    <w:basedOn w:val="TableauNormal"/>
    <w:uiPriority w:val="39"/>
    <w:rsid w:val="001E496F"/>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496F"/>
    <w:rPr>
      <w:color w:val="0563C1" w:themeColor="hyperlink"/>
      <w:u w:val="single"/>
    </w:rPr>
  </w:style>
  <w:style w:type="character" w:styleId="lev">
    <w:name w:val="Strong"/>
    <w:basedOn w:val="Policepardfaut"/>
    <w:uiPriority w:val="22"/>
    <w:qFormat/>
    <w:rsid w:val="001E496F"/>
    <w:rPr>
      <w:b/>
      <w:bCs/>
    </w:rPr>
  </w:style>
  <w:style w:type="paragraph" w:styleId="En-tte">
    <w:name w:val="header"/>
    <w:basedOn w:val="Normal"/>
    <w:link w:val="En-tteCar"/>
    <w:uiPriority w:val="99"/>
    <w:unhideWhenUsed/>
    <w:rsid w:val="00EC7533"/>
    <w:pPr>
      <w:tabs>
        <w:tab w:val="center" w:pos="4536"/>
        <w:tab w:val="right" w:pos="9072"/>
      </w:tabs>
      <w:spacing w:after="0" w:line="240" w:lineRule="auto"/>
    </w:pPr>
  </w:style>
  <w:style w:type="character" w:customStyle="1" w:styleId="En-tteCar">
    <w:name w:val="En-tête Car"/>
    <w:basedOn w:val="Policepardfaut"/>
    <w:link w:val="En-tte"/>
    <w:uiPriority w:val="99"/>
    <w:rsid w:val="00EC7533"/>
  </w:style>
  <w:style w:type="paragraph" w:styleId="Pieddepage">
    <w:name w:val="footer"/>
    <w:basedOn w:val="Normal"/>
    <w:link w:val="PieddepageCar"/>
    <w:uiPriority w:val="99"/>
    <w:unhideWhenUsed/>
    <w:rsid w:val="00EC75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IASante@hautsdefranc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i-IASante@hautsdefranc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8485</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VROELANT Mathilde</dc:creator>
  <cp:keywords/>
  <dc:description/>
  <cp:lastModifiedBy>AUTIN Frédéric</cp:lastModifiedBy>
  <cp:revision>2</cp:revision>
  <dcterms:created xsi:type="dcterms:W3CDTF">2026-04-30T13:59:00Z</dcterms:created>
  <dcterms:modified xsi:type="dcterms:W3CDTF">2026-04-30T13:59:00Z</dcterms:modified>
</cp:coreProperties>
</file>